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AEC" w:rsidRDefault="00694AEC">
      <w:r>
        <w:tab/>
      </w:r>
      <w:r>
        <w:tab/>
      </w:r>
      <w:r>
        <w:tab/>
      </w:r>
      <w:r>
        <w:tab/>
      </w:r>
      <w:r>
        <w:tab/>
      </w:r>
      <w:r>
        <w:tab/>
      </w:r>
      <w:r>
        <w:tab/>
      </w:r>
      <w:r>
        <w:tab/>
      </w:r>
      <w:r>
        <w:tab/>
      </w:r>
      <w:r>
        <w:tab/>
      </w:r>
      <w:r>
        <w:tab/>
        <w:t>2</w:t>
      </w:r>
      <w:r w:rsidR="00D52846">
        <w:t>9</w:t>
      </w:r>
      <w:r>
        <w:t xml:space="preserve"> July 2026</w:t>
      </w:r>
    </w:p>
    <w:p w:rsidR="00694AEC" w:rsidRDefault="00694AEC" w:rsidP="00694AEC">
      <w:pPr>
        <w:jc w:val="center"/>
        <w:rPr>
          <w:b/>
        </w:rPr>
      </w:pPr>
      <w:r>
        <w:rPr>
          <w:b/>
        </w:rPr>
        <w:t>TREASURY CONSULTATION PAPER: MINIMUM TAX ON DISCRETIO</w:t>
      </w:r>
      <w:r w:rsidR="00207EBD">
        <w:rPr>
          <w:b/>
        </w:rPr>
        <w:t>N</w:t>
      </w:r>
      <w:r>
        <w:rPr>
          <w:b/>
        </w:rPr>
        <w:t>ARY TRUSTS</w:t>
      </w:r>
    </w:p>
    <w:p w:rsidR="00694AEC" w:rsidRPr="00E45F4B" w:rsidRDefault="00694AEC" w:rsidP="00694AEC">
      <w:pPr>
        <w:jc w:val="center"/>
      </w:pPr>
      <w:r w:rsidRPr="00E45F4B">
        <w:t>Wayne Mayo</w:t>
      </w:r>
      <w:r>
        <w:rPr>
          <w:rStyle w:val="FootnoteReference"/>
        </w:rPr>
        <w:footnoteReference w:id="1"/>
      </w:r>
    </w:p>
    <w:p w:rsidR="00694AEC" w:rsidRPr="00F75E68" w:rsidRDefault="006D1EDE" w:rsidP="00694AEC">
      <w:pPr>
        <w:rPr>
          <w:b/>
        </w:rPr>
      </w:pPr>
      <w:r>
        <w:rPr>
          <w:b/>
        </w:rPr>
        <w:t xml:space="preserve">1. </w:t>
      </w:r>
      <w:r w:rsidR="00694AEC">
        <w:rPr>
          <w:b/>
        </w:rPr>
        <w:t>OVERVIEW</w:t>
      </w:r>
    </w:p>
    <w:p w:rsidR="00654E8F" w:rsidRDefault="00207EBD" w:rsidP="00694AEC">
      <w:r>
        <w:t>The overarching design</w:t>
      </w:r>
      <w:r w:rsidR="004237B6">
        <w:t xml:space="preserve"> of the </w:t>
      </w:r>
      <w:r w:rsidR="00171927">
        <w:t xml:space="preserve">proposed </w:t>
      </w:r>
      <w:r w:rsidR="004237B6">
        <w:t>minimum tax on discretionary trusts involves imposing on trustees a 30 per cent tax on taxable trust income</w:t>
      </w:r>
      <w:r w:rsidR="00A6717E">
        <w:t>,</w:t>
      </w:r>
      <w:r w:rsidR="004237B6">
        <w:t xml:space="preserve"> with non-corporate beneficiaries then receiving a “non-refundable tax offset” </w:t>
      </w:r>
      <w:r w:rsidR="00A6717E">
        <w:t xml:space="preserve">for the tax payable by the trustee. That represents a very neat way of achieving the proposed minimum </w:t>
      </w:r>
      <w:r w:rsidR="004237B6">
        <w:t xml:space="preserve">30 per cent tax </w:t>
      </w:r>
      <w:r w:rsidR="00A6717E">
        <w:t xml:space="preserve">on </w:t>
      </w:r>
      <w:r w:rsidR="00E159C2">
        <w:t xml:space="preserve">these </w:t>
      </w:r>
      <w:r w:rsidR="00A6717E">
        <w:t xml:space="preserve">beneficiaries’ entitlements </w:t>
      </w:r>
      <w:r w:rsidR="00E159C2">
        <w:t>to the income of the trusts</w:t>
      </w:r>
      <w:r w:rsidR="00A6717E">
        <w:t xml:space="preserve">. </w:t>
      </w:r>
    </w:p>
    <w:p w:rsidR="00207EBD" w:rsidRDefault="00A6717E" w:rsidP="00694AEC">
      <w:r>
        <w:t xml:space="preserve">That neat outcome </w:t>
      </w:r>
      <w:r w:rsidR="00587800">
        <w:t xml:space="preserve">is achieved not only </w:t>
      </w:r>
      <w:r w:rsidR="00171927">
        <w:t>for</w:t>
      </w:r>
      <w:r>
        <w:t xml:space="preserve"> </w:t>
      </w:r>
      <w:r w:rsidR="00E159C2">
        <w:t xml:space="preserve">non-corporate </w:t>
      </w:r>
      <w:r>
        <w:t xml:space="preserve">beneficiaries </w:t>
      </w:r>
      <w:r w:rsidR="00171927">
        <w:t xml:space="preserve">that </w:t>
      </w:r>
      <w:r>
        <w:t xml:space="preserve">have no other taxable income </w:t>
      </w:r>
      <w:r w:rsidR="00587800">
        <w:t xml:space="preserve">(as illustrated in the consultation paper) but also </w:t>
      </w:r>
      <w:r w:rsidR="00171927">
        <w:t>for</w:t>
      </w:r>
      <w:r w:rsidR="00587800">
        <w:t xml:space="preserve"> </w:t>
      </w:r>
      <w:r w:rsidR="00E159C2">
        <w:t xml:space="preserve">such </w:t>
      </w:r>
      <w:r w:rsidR="00587800">
        <w:t xml:space="preserve">beneficiaries </w:t>
      </w:r>
      <w:r w:rsidR="00171927">
        <w:t xml:space="preserve">that </w:t>
      </w:r>
      <w:r w:rsidR="00587800">
        <w:t xml:space="preserve">have other taxable income within </w:t>
      </w:r>
      <w:r w:rsidR="00171927">
        <w:t xml:space="preserve">the various </w:t>
      </w:r>
      <w:r w:rsidR="00587800">
        <w:t>threshold</w:t>
      </w:r>
      <w:r w:rsidR="00171927">
        <w:t>s of</w:t>
      </w:r>
      <w:r w:rsidR="00587800">
        <w:t xml:space="preserve"> the personal rate scale. </w:t>
      </w:r>
      <w:r>
        <w:t xml:space="preserve">  </w:t>
      </w:r>
      <w:r w:rsidR="004237B6">
        <w:t xml:space="preserve"> </w:t>
      </w:r>
    </w:p>
    <w:p w:rsidR="00694AEC" w:rsidRDefault="00694AEC" w:rsidP="00694AEC">
      <w:r>
        <w:t xml:space="preserve">As </w:t>
      </w:r>
      <w:r w:rsidR="008A7F54">
        <w:t>invited by the</w:t>
      </w:r>
      <w:r>
        <w:t xml:space="preserve"> </w:t>
      </w:r>
      <w:r w:rsidR="00207EBD">
        <w:t xml:space="preserve">consultation paper, following are </w:t>
      </w:r>
      <w:r w:rsidR="00E159C2">
        <w:t>suggestions regarding</w:t>
      </w:r>
      <w:r w:rsidR="00207EBD">
        <w:t xml:space="preserve"> three design features of the minimum tax</w:t>
      </w:r>
      <w:r w:rsidR="00654E8F">
        <w:t>:</w:t>
      </w:r>
      <w:r w:rsidR="008A7F54">
        <w:t xml:space="preserve"> d</w:t>
      </w:r>
      <w:r w:rsidR="00654E8F">
        <w:t>istributable income versus taxable income (discussion question 3)</w:t>
      </w:r>
      <w:r w:rsidR="008A7F54">
        <w:t>; c</w:t>
      </w:r>
      <w:r w:rsidR="00654E8F">
        <w:t>orporate beneficiaries (discussion question 3)</w:t>
      </w:r>
      <w:r w:rsidR="008A7F54">
        <w:t>; t</w:t>
      </w:r>
      <w:r w:rsidR="00654E8F">
        <w:t>reatment of trust</w:t>
      </w:r>
      <w:r w:rsidR="007B3400">
        <w:t>ee</w:t>
      </w:r>
      <w:r w:rsidR="008E4952">
        <w:t>s</w:t>
      </w:r>
      <w:r w:rsidR="00654E8F">
        <w:t>’ excess franking credits (discussion question 9)</w:t>
      </w:r>
      <w:r w:rsidR="008A7F54">
        <w:t xml:space="preserve">; </w:t>
      </w:r>
      <w:r w:rsidR="00171927">
        <w:t xml:space="preserve">and, </w:t>
      </w:r>
      <w:r w:rsidR="008A7F54">
        <w:t>t</w:t>
      </w:r>
      <w:r w:rsidR="00654E8F">
        <w:t>he</w:t>
      </w:r>
      <w:r w:rsidR="008A7F54">
        <w:t xml:space="preserve"> High Court decision in the</w:t>
      </w:r>
      <w:r w:rsidR="00654E8F">
        <w:t xml:space="preserve"> </w:t>
      </w:r>
      <w:proofErr w:type="spellStart"/>
      <w:r w:rsidR="00654E8F" w:rsidRPr="00654E8F">
        <w:rPr>
          <w:i/>
        </w:rPr>
        <w:t>Bendel</w:t>
      </w:r>
      <w:proofErr w:type="spellEnd"/>
      <w:r w:rsidR="00654E8F">
        <w:t xml:space="preserve"> case (discussion question 16)</w:t>
      </w:r>
      <w:r w:rsidR="008A7F54">
        <w:t>.</w:t>
      </w:r>
    </w:p>
    <w:p w:rsidR="00AF4572" w:rsidRDefault="00AF4572" w:rsidP="00694AEC">
      <w:r>
        <w:t>In brief, suggestions are: align distributable income with taxable income adjusted for non-</w:t>
      </w:r>
      <w:r w:rsidR="00E159C2">
        <w:t>cash</w:t>
      </w:r>
      <w:r>
        <w:t xml:space="preserve"> and non-taxable amounts; have shareholders of corporate beneficiaries always taxed on their companies’ current-year taxable income with refunds of excess franking credits not allowed; in</w:t>
      </w:r>
      <w:r w:rsidR="005421A4">
        <w:t xml:space="preserve"> </w:t>
      </w:r>
      <w:r>
        <w:t>principle</w:t>
      </w:r>
      <w:r w:rsidR="008E4952">
        <w:t>,</w:t>
      </w:r>
      <w:r>
        <w:t xml:space="preserve"> allow discretionary trustees refunds of excess franking credits; and</w:t>
      </w:r>
      <w:r w:rsidR="00E159C2">
        <w:t>,</w:t>
      </w:r>
      <w:r>
        <w:t xml:space="preserve"> treat corporate beneficiaries’ unpaid present entitlements as distribution reinvestment arrangements.</w:t>
      </w:r>
      <w:bookmarkStart w:id="0" w:name="_GoBack"/>
      <w:bookmarkEnd w:id="0"/>
    </w:p>
    <w:p w:rsidR="008E09F5" w:rsidRPr="00D908D6" w:rsidRDefault="006D1EDE" w:rsidP="00694AEC">
      <w:pPr>
        <w:rPr>
          <w:b/>
        </w:rPr>
      </w:pPr>
      <w:r>
        <w:rPr>
          <w:b/>
        </w:rPr>
        <w:t xml:space="preserve">2. </w:t>
      </w:r>
      <w:r w:rsidR="008E09F5" w:rsidRPr="00D908D6">
        <w:rPr>
          <w:b/>
        </w:rPr>
        <w:t>DISTRIBUTABLE VERSUS TAXABLE INCOME</w:t>
      </w:r>
    </w:p>
    <w:p w:rsidR="00370597" w:rsidRDefault="008E09F5" w:rsidP="00694AEC">
      <w:r>
        <w:t xml:space="preserve">The consultation paper explains </w:t>
      </w:r>
      <w:r w:rsidR="00B67074">
        <w:t xml:space="preserve">(p 2) </w:t>
      </w:r>
      <w:r>
        <w:t>that the “underlying basis on which trusts are taxed will remain unchanged” with beneficiaries continuing “to be assessed</w:t>
      </w:r>
      <w:r w:rsidR="00B67074">
        <w:t xml:space="preserve"> on their share of trust’s taxable (net) income in proportion to their entitlements to the income of the trust”. The income of the trust</w:t>
      </w:r>
      <w:r w:rsidR="00370597">
        <w:t xml:space="preserve"> is the </w:t>
      </w:r>
      <w:r w:rsidR="00B67074">
        <w:t>income that can be distributed to beneficiaries</w:t>
      </w:r>
      <w:r w:rsidR="00370597">
        <w:t>, commonly termed distributable income.</w:t>
      </w:r>
    </w:p>
    <w:p w:rsidR="006C4A3C" w:rsidRDefault="00370597" w:rsidP="00694AEC">
      <w:r>
        <w:t>The example in the paper showing the proposed treatment of individual beneficiaries (p 6) sets distributable income equal to taxable income</w:t>
      </w:r>
      <w:r w:rsidR="006D1EDE">
        <w:t>, ensuring the beneficiaries are taxed on the income to which they are entitled</w:t>
      </w:r>
      <w:r>
        <w:t xml:space="preserve">. And, </w:t>
      </w:r>
      <w:r w:rsidR="00C53679">
        <w:t>the cameo relating to trustee</w:t>
      </w:r>
      <w:r w:rsidR="00E159C2">
        <w:t>s</w:t>
      </w:r>
      <w:r w:rsidR="00C53679">
        <w:t>’ excess franking credits (p 13)</w:t>
      </w:r>
      <w:r w:rsidR="006D1EDE">
        <w:t xml:space="preserve"> shows that in circumstances where taxable and distributable income differ</w:t>
      </w:r>
      <w:r w:rsidR="00C53679">
        <w:t xml:space="preserve">, beneficiaries may </w:t>
      </w:r>
      <w:r w:rsidR="006F5CA7">
        <w:t xml:space="preserve">still </w:t>
      </w:r>
      <w:r w:rsidR="00C53679">
        <w:t>be taxed on the income to which they are entitled.</w:t>
      </w:r>
    </w:p>
    <w:p w:rsidR="00127A18" w:rsidRDefault="006C4A3C" w:rsidP="00694AEC">
      <w:r>
        <w:t>However, as discussed in Mayo (2025)</w:t>
      </w:r>
      <w:r w:rsidR="00086F25">
        <w:rPr>
          <w:rStyle w:val="FootnoteReference"/>
        </w:rPr>
        <w:footnoteReference w:id="2"/>
      </w:r>
      <w:r>
        <w:t xml:space="preserve">, </w:t>
      </w:r>
      <w:r w:rsidR="0081731E">
        <w:t xml:space="preserve">drawing on a range of Australian Taxation Office, Treasury, court and academic references, </w:t>
      </w:r>
      <w:r>
        <w:t xml:space="preserve">current interaction between tax and trust laws throws up a range of </w:t>
      </w:r>
      <w:r>
        <w:lastRenderedPageBreak/>
        <w:t xml:space="preserve">features that influence the relationship between trust entitlements and </w:t>
      </w:r>
      <w:r w:rsidR="00127A18">
        <w:t>tax impost</w:t>
      </w:r>
      <w:r w:rsidR="006F5CA7">
        <w:t>. These include the following.</w:t>
      </w:r>
    </w:p>
    <w:p w:rsidR="00086F25" w:rsidRDefault="007F17F3" w:rsidP="00C82780">
      <w:pPr>
        <w:pStyle w:val="ListParagraph"/>
        <w:numPr>
          <w:ilvl w:val="0"/>
          <w:numId w:val="1"/>
        </w:numPr>
      </w:pPr>
      <w:r>
        <w:t>The trust deed and trustee may produce a wide range of definitions of distributable income</w:t>
      </w:r>
      <w:r w:rsidR="006F5CA7">
        <w:t>.</w:t>
      </w:r>
    </w:p>
    <w:p w:rsidR="006F5CA7" w:rsidRDefault="006F5CA7" w:rsidP="00C82780">
      <w:pPr>
        <w:pStyle w:val="ListParagraph"/>
        <w:numPr>
          <w:ilvl w:val="0"/>
          <w:numId w:val="1"/>
        </w:numPr>
      </w:pPr>
      <w:r>
        <w:t>The trust deed may allow the trustee to include capital gains in distributable income.</w:t>
      </w:r>
    </w:p>
    <w:p w:rsidR="006F5CA7" w:rsidRDefault="006F5CA7" w:rsidP="006F5CA7">
      <w:pPr>
        <w:pStyle w:val="ListParagraph"/>
        <w:numPr>
          <w:ilvl w:val="0"/>
          <w:numId w:val="1"/>
        </w:numPr>
      </w:pPr>
      <w:r>
        <w:t>In the absence of a definition in the trust deed, the default definition of distributable income is ordinary income (as noted in the consultative paper), which excludes, for example, capital gains and tax credits.</w:t>
      </w:r>
    </w:p>
    <w:p w:rsidR="00EF0CBD" w:rsidRDefault="007F17F3" w:rsidP="00C82780">
      <w:pPr>
        <w:pStyle w:val="ListParagraph"/>
        <w:numPr>
          <w:ilvl w:val="0"/>
          <w:numId w:val="1"/>
        </w:numPr>
      </w:pPr>
      <w:r>
        <w:t>Under tax law, the trustee and the tax deed may make any beneficiary specifically entitled for tax purposes</w:t>
      </w:r>
      <w:r w:rsidR="0081731E">
        <w:t xml:space="preserve"> </w:t>
      </w:r>
      <w:r w:rsidR="006F5CA7">
        <w:t xml:space="preserve">to </w:t>
      </w:r>
      <w:r w:rsidR="0081731E">
        <w:t>any or all of the trust’s capital gains – whether or not the gains are part of the trust’s distributable income</w:t>
      </w:r>
      <w:r w:rsidR="00EF0CBD">
        <w:t>.</w:t>
      </w:r>
    </w:p>
    <w:p w:rsidR="001E2DEE" w:rsidRDefault="00EF0CBD" w:rsidP="00694AEC">
      <w:r>
        <w:t xml:space="preserve">The upshot of such features </w:t>
      </w:r>
      <w:r w:rsidR="00C82780">
        <w:t>is much complexity</w:t>
      </w:r>
      <w:r w:rsidR="00CE5985">
        <w:rPr>
          <w:rStyle w:val="FootnoteReference"/>
        </w:rPr>
        <w:footnoteReference w:id="3"/>
      </w:r>
      <w:r w:rsidR="00C82780">
        <w:t xml:space="preserve"> and, most importantly, the possibility that some beneficiaries receive cash distributions while other beneficiaries pay the tax on that income. </w:t>
      </w:r>
    </w:p>
    <w:p w:rsidR="00AF1A9B" w:rsidRDefault="00145AB5" w:rsidP="00694AEC">
      <w:r>
        <w:t xml:space="preserve">The minimum tax on discretionary trusts aims at paring </w:t>
      </w:r>
      <w:r w:rsidR="001E2DEE">
        <w:t xml:space="preserve">back income splitting that </w:t>
      </w:r>
      <w:r>
        <w:t>provides some taxpayers with tax benefits that are not available to salary and wage earners, thereby reducing “the progressivity of the tax system”. Thus, the design seeks to “better align the tax rate on trust income with the tax rates paid by workers”</w:t>
      </w:r>
      <w:r w:rsidR="00EC3A6C">
        <w:t>. The redesign</w:t>
      </w:r>
      <w:r w:rsidR="00AF1A9B">
        <w:t xml:space="preserve"> would </w:t>
      </w:r>
      <w:r w:rsidR="00EC3A6C">
        <w:t xml:space="preserve">therefore </w:t>
      </w:r>
      <w:r w:rsidR="00AF1A9B">
        <w:t>help bolster the investment-neutrality properties of income taxation</w:t>
      </w:r>
      <w:r w:rsidR="003D6C60">
        <w:rPr>
          <w:rStyle w:val="FootnoteReference"/>
        </w:rPr>
        <w:footnoteReference w:id="4"/>
      </w:r>
      <w:r>
        <w:t>.</w:t>
      </w:r>
    </w:p>
    <w:p w:rsidR="00AF1A9B" w:rsidRDefault="00AF1A9B" w:rsidP="00AF1A9B">
      <w:r>
        <w:t>But</w:t>
      </w:r>
      <w:r w:rsidR="00FB0592">
        <w:t>,</w:t>
      </w:r>
      <w:r>
        <w:t xml:space="preserve"> these aims of the minimum tax design are undermined if trustees remain able to decide not only which beneficiaries get trust income but which beneficiaries pay tax on that income.</w:t>
      </w:r>
    </w:p>
    <w:p w:rsidR="00AF1A9B" w:rsidRDefault="00AF1A9B" w:rsidP="00AF1A9B">
      <w:r>
        <w:t xml:space="preserve">The minimum tax </w:t>
      </w:r>
      <w:r w:rsidR="00D95CB9">
        <w:t xml:space="preserve">design </w:t>
      </w:r>
      <w:r>
        <w:t>not only provides an opportunity to align discretionary trust</w:t>
      </w:r>
      <w:r w:rsidR="009A10D1">
        <w:t>s</w:t>
      </w:r>
      <w:r>
        <w:t>’ distributable and taxable</w:t>
      </w:r>
      <w:r w:rsidR="00FB0592">
        <w:t xml:space="preserve"> income</w:t>
      </w:r>
      <w:r>
        <w:t>. Such alignment would seem essential to achieve the aims of the minimum tax</w:t>
      </w:r>
      <w:r w:rsidR="00FB0592">
        <w:t>.</w:t>
      </w:r>
      <w:r>
        <w:t xml:space="preserve"> </w:t>
      </w:r>
    </w:p>
    <w:p w:rsidR="001E2DEE" w:rsidRDefault="003A68F0" w:rsidP="00694AEC">
      <w:r>
        <w:t xml:space="preserve">Treasury has previously considered </w:t>
      </w:r>
      <w:r w:rsidR="00EC3A6C">
        <w:t>how to</w:t>
      </w:r>
      <w:r>
        <w:t xml:space="preserve"> better align distributable and taxable income of discretionary trusts. For example, in 2011</w:t>
      </w:r>
      <w:r w:rsidR="00FB0592">
        <w:t>,</w:t>
      </w:r>
      <w:r>
        <w:t xml:space="preserve"> Treasury</w:t>
      </w:r>
      <w:r w:rsidR="007C6011">
        <w:t>, on behalf of the Australian Government,</w:t>
      </w:r>
      <w:r>
        <w:t xml:space="preserve"> </w:t>
      </w:r>
      <w:r w:rsidR="007C6011">
        <w:t>issued a public discussion paper on this issue and received a wide range of responses to the paper.</w:t>
      </w:r>
      <w:r w:rsidR="007C6011">
        <w:rPr>
          <w:rStyle w:val="FootnoteReference"/>
        </w:rPr>
        <w:footnoteReference w:id="5"/>
      </w:r>
      <w:r w:rsidR="007C6011">
        <w:t xml:space="preserve">    </w:t>
      </w:r>
      <w:r>
        <w:t xml:space="preserve"> </w:t>
      </w:r>
      <w:r w:rsidR="001E2DEE">
        <w:t xml:space="preserve"> </w:t>
      </w:r>
      <w:r w:rsidR="00C82780">
        <w:t xml:space="preserve"> </w:t>
      </w:r>
    </w:p>
    <w:p w:rsidR="007B0916" w:rsidRDefault="00903D88" w:rsidP="00694AEC">
      <w:r>
        <w:t>Better a</w:t>
      </w:r>
      <w:r w:rsidR="00BD7FDB">
        <w:t>lignment of discretionary trusts’ d</w:t>
      </w:r>
      <w:r>
        <w:t>istributable and taxable income did not follow from this consultation process. Nevertheless, trust taxable income remain</w:t>
      </w:r>
      <w:r w:rsidR="009A10D1">
        <w:t>s</w:t>
      </w:r>
      <w:r>
        <w:t xml:space="preserve"> a firm anchor amidst moveable distributable income outcomes.</w:t>
      </w:r>
      <w:r w:rsidR="00FB0592">
        <w:t xml:space="preserve"> A</w:t>
      </w:r>
      <w:r>
        <w:t xml:space="preserve">s part of the minimum tax design, perhaps </w:t>
      </w:r>
      <w:r w:rsidR="004D2DCF">
        <w:t xml:space="preserve">consideration </w:t>
      </w:r>
      <w:r>
        <w:t xml:space="preserve">could </w:t>
      </w:r>
      <w:r w:rsidR="00FB0592">
        <w:t xml:space="preserve">therefore </w:t>
      </w:r>
      <w:r w:rsidR="004D2DCF">
        <w:t>be given</w:t>
      </w:r>
      <w:r>
        <w:t xml:space="preserve"> </w:t>
      </w:r>
      <w:r w:rsidR="004D2DCF">
        <w:t>to aligning</w:t>
      </w:r>
      <w:r>
        <w:t xml:space="preserve"> distributable income of discretionary trusts </w:t>
      </w:r>
      <w:r w:rsidR="004D2DCF">
        <w:t>with</w:t>
      </w:r>
      <w:r>
        <w:t xml:space="preserve"> </w:t>
      </w:r>
      <w:r w:rsidR="00FB0592">
        <w:t xml:space="preserve">trust </w:t>
      </w:r>
      <w:r>
        <w:t>taxable income adjusted for non-cash and non-taxable amounts</w:t>
      </w:r>
      <w:r w:rsidR="003E5B1C">
        <w:rPr>
          <w:rStyle w:val="FootnoteReference"/>
        </w:rPr>
        <w:footnoteReference w:id="6"/>
      </w:r>
      <w:r>
        <w:t xml:space="preserve">. This would mean distributable income across </w:t>
      </w:r>
      <w:r w:rsidR="007B0916">
        <w:t>a trust’s</w:t>
      </w:r>
      <w:r>
        <w:t xml:space="preserve"> various income categories</w:t>
      </w:r>
      <w:r w:rsidR="007B0916">
        <w:t xml:space="preserve"> </w:t>
      </w:r>
      <w:r w:rsidR="00D908D6">
        <w:t>might</w:t>
      </w:r>
      <w:r w:rsidR="007B0916">
        <w:t xml:space="preserve"> equal taxable income</w:t>
      </w:r>
      <w:r w:rsidR="00FB0592">
        <w:t>,</w:t>
      </w:r>
    </w:p>
    <w:p w:rsidR="007B0916" w:rsidRDefault="00A40A5B" w:rsidP="00A40A5B">
      <w:pPr>
        <w:pStyle w:val="ListParagraph"/>
        <w:numPr>
          <w:ilvl w:val="0"/>
          <w:numId w:val="2"/>
        </w:numPr>
      </w:pPr>
      <w:r w:rsidRPr="00A40A5B">
        <w:rPr>
          <w:u w:val="single"/>
        </w:rPr>
        <w:t>l</w:t>
      </w:r>
      <w:r w:rsidR="007B0916" w:rsidRPr="00A40A5B">
        <w:rPr>
          <w:u w:val="single"/>
        </w:rPr>
        <w:t>ess</w:t>
      </w:r>
      <w:r w:rsidR="007B0916">
        <w:t xml:space="preserve"> local imputation and foreign tax credits</w:t>
      </w:r>
      <w:r w:rsidR="00F1324E">
        <w:t>,</w:t>
      </w:r>
    </w:p>
    <w:p w:rsidR="007B0916" w:rsidRDefault="00A40A5B" w:rsidP="00A40A5B">
      <w:pPr>
        <w:pStyle w:val="ListParagraph"/>
        <w:numPr>
          <w:ilvl w:val="0"/>
          <w:numId w:val="2"/>
        </w:numPr>
      </w:pPr>
      <w:r w:rsidRPr="00A40A5B">
        <w:rPr>
          <w:u w:val="single"/>
        </w:rPr>
        <w:lastRenderedPageBreak/>
        <w:t>p</w:t>
      </w:r>
      <w:r w:rsidR="007B0916" w:rsidRPr="00A40A5B">
        <w:rPr>
          <w:u w:val="single"/>
        </w:rPr>
        <w:t>lus</w:t>
      </w:r>
      <w:r w:rsidR="007B0916">
        <w:t xml:space="preserve"> capital gains tax (CGT) discount (however computed) on realised capital gains on CGT assets</w:t>
      </w:r>
      <w:r w:rsidR="00F1324E">
        <w:t>,</w:t>
      </w:r>
    </w:p>
    <w:p w:rsidR="007B0916" w:rsidRDefault="00A40A5B" w:rsidP="00A40A5B">
      <w:pPr>
        <w:pStyle w:val="ListParagraph"/>
        <w:numPr>
          <w:ilvl w:val="0"/>
          <w:numId w:val="2"/>
        </w:numPr>
      </w:pPr>
      <w:r w:rsidRPr="00A40A5B">
        <w:rPr>
          <w:u w:val="single"/>
        </w:rPr>
        <w:t>p</w:t>
      </w:r>
      <w:r w:rsidR="007B0916" w:rsidRPr="00A40A5B">
        <w:rPr>
          <w:u w:val="single"/>
        </w:rPr>
        <w:t>lus</w:t>
      </w:r>
      <w:r w:rsidR="007B0916">
        <w:t xml:space="preserve"> depreciation on wasting business assets</w:t>
      </w:r>
      <w:r w:rsidR="00F1324E">
        <w:t>,</w:t>
      </w:r>
      <w:r w:rsidR="007B0916">
        <w:t xml:space="preserve">  </w:t>
      </w:r>
    </w:p>
    <w:p w:rsidR="00A40A5B" w:rsidRDefault="00A40A5B" w:rsidP="00A40A5B">
      <w:pPr>
        <w:pStyle w:val="ListParagraph"/>
        <w:numPr>
          <w:ilvl w:val="0"/>
          <w:numId w:val="2"/>
        </w:numPr>
      </w:pPr>
      <w:proofErr w:type="gramStart"/>
      <w:r w:rsidRPr="00A40A5B">
        <w:rPr>
          <w:u w:val="single"/>
        </w:rPr>
        <w:t>p</w:t>
      </w:r>
      <w:r w:rsidR="007B0916" w:rsidRPr="00A40A5B">
        <w:rPr>
          <w:u w:val="single"/>
        </w:rPr>
        <w:t>lus</w:t>
      </w:r>
      <w:proofErr w:type="gramEnd"/>
      <w:r w:rsidR="007B0916">
        <w:t xml:space="preserve"> non-taxable </w:t>
      </w:r>
      <w:r>
        <w:t>flows.</w:t>
      </w:r>
    </w:p>
    <w:p w:rsidR="005668E0" w:rsidRDefault="00A40A5B" w:rsidP="00694AEC">
      <w:r>
        <w:t xml:space="preserve">This </w:t>
      </w:r>
      <w:r w:rsidR="00077928">
        <w:t xml:space="preserve">specification </w:t>
      </w:r>
      <w:r>
        <w:t>is consistent with cash flow and tax outcomes of sole traders and the tax regime for Attribution Managed Investment Trusts (AMIT)</w:t>
      </w:r>
      <w:r w:rsidR="00E868FB">
        <w:rPr>
          <w:rStyle w:val="FootnoteReference"/>
        </w:rPr>
        <w:footnoteReference w:id="7"/>
      </w:r>
      <w:r>
        <w:t xml:space="preserve"> – though</w:t>
      </w:r>
      <w:r w:rsidR="003E5B1C">
        <w:t>,</w:t>
      </w:r>
      <w:r>
        <w:t xml:space="preserve"> if </w:t>
      </w:r>
      <w:r w:rsidR="00077928">
        <w:t xml:space="preserve">discretionary </w:t>
      </w:r>
      <w:r>
        <w:t>trust distributions were greater than taxable income</w:t>
      </w:r>
      <w:r w:rsidR="003E5B1C">
        <w:t>, there would be no consequent tax implications (unlike the CGT cost base adjustments of the AMIT regime).</w:t>
      </w:r>
    </w:p>
    <w:p w:rsidR="001B6765" w:rsidRDefault="001B6765" w:rsidP="00694AEC">
      <w:r>
        <w:t>Under this suggested redesign for distributable income, t</w:t>
      </w:r>
      <w:r w:rsidR="006040E4">
        <w:t>rustees would continue to be liable for the 30 per cent minimum tax on their trusts’ taxable income. And, as shown in the consultation paper’s numerical example</w:t>
      </w:r>
      <w:r>
        <w:t xml:space="preserve"> (p 6)</w:t>
      </w:r>
      <w:r w:rsidR="006040E4">
        <w:t xml:space="preserve">, individual beneficiaries would receive a tax offset for this minimum tax to reduce their personal income tax liability – but with the tax offset non-refundable to ensure the minimum tax is achieved. However, </w:t>
      </w:r>
      <w:r w:rsidR="00E0452C">
        <w:t>taxable income would truly be apportioned amongst beneficiaries according to the percentage of distributable income (that is, adjusted taxable income) to which they are entitled</w:t>
      </w:r>
      <w:r w:rsidR="006040E4">
        <w:t xml:space="preserve"> – as sought by the consultation paper</w:t>
      </w:r>
      <w:r w:rsidR="00E0452C">
        <w:t xml:space="preserve">. </w:t>
      </w:r>
    </w:p>
    <w:p w:rsidR="00E0452C" w:rsidRDefault="00E0452C" w:rsidP="00694AEC">
      <w:r>
        <w:t>While the various income categories would retain their character within the trusts, there would be no streaming of particular income categories to selected beneficiaries.</w:t>
      </w:r>
    </w:p>
    <w:p w:rsidR="00E868FB" w:rsidRDefault="007E20BE" w:rsidP="00694AEC">
      <w:r>
        <w:t xml:space="preserve">Certainly, there would be timing issues </w:t>
      </w:r>
      <w:r w:rsidR="00077928">
        <w:t xml:space="preserve">arising from </w:t>
      </w:r>
      <w:r>
        <w:t>measurement of taxable income and adjustments to that. And, trust law presumably would have to override trust law</w:t>
      </w:r>
      <w:r w:rsidR="00E868FB">
        <w:t xml:space="preserve">. Consequently, a further round of consultations could be required. Nevertheless, that would appear warranted given the prospect of considerable improvement in the tax treatment of discretionary trusts and the achievement of the aims of the minimum tax design. </w:t>
      </w:r>
      <w:r>
        <w:t xml:space="preserve"> </w:t>
      </w:r>
    </w:p>
    <w:p w:rsidR="00E868FB" w:rsidRPr="00D908D6" w:rsidRDefault="006D1EDE" w:rsidP="00694AEC">
      <w:pPr>
        <w:rPr>
          <w:b/>
        </w:rPr>
      </w:pPr>
      <w:r>
        <w:rPr>
          <w:b/>
        </w:rPr>
        <w:t xml:space="preserve">3. </w:t>
      </w:r>
      <w:r w:rsidR="00E868FB" w:rsidRPr="00D908D6">
        <w:rPr>
          <w:b/>
        </w:rPr>
        <w:t>CORPORATE BENEFICIARIES</w:t>
      </w:r>
    </w:p>
    <w:p w:rsidR="009B5CF3" w:rsidRDefault="00E868FB" w:rsidP="00694AEC">
      <w:r>
        <w:t xml:space="preserve">The numerical illustration </w:t>
      </w:r>
      <w:r w:rsidR="0057467B">
        <w:t xml:space="preserve">in the consultation paper </w:t>
      </w:r>
      <w:r>
        <w:t xml:space="preserve">of the </w:t>
      </w:r>
      <w:r w:rsidR="0057467B">
        <w:t xml:space="preserve">proposed </w:t>
      </w:r>
      <w:r>
        <w:t>treatment of corporate beneficiaries makes clear that</w:t>
      </w:r>
      <w:r w:rsidR="009B5CF3">
        <w:t xml:space="preserve"> such beneficiaries are to be subject to double tax on their entitlements to trust taxable income as a result of no credit being provided for the 30 per cent minimum tax on </w:t>
      </w:r>
      <w:r w:rsidR="001D0187">
        <w:t xml:space="preserve">that </w:t>
      </w:r>
      <w:r w:rsidR="009B5CF3">
        <w:t>income.</w:t>
      </w:r>
    </w:p>
    <w:p w:rsidR="00565572" w:rsidRDefault="009B5CF3" w:rsidP="00694AEC">
      <w:r>
        <w:t xml:space="preserve">The paper </w:t>
      </w:r>
      <w:r w:rsidR="001B6765">
        <w:t xml:space="preserve">(p 6) </w:t>
      </w:r>
      <w:r>
        <w:t xml:space="preserve">sees this as the </w:t>
      </w:r>
      <w:r w:rsidR="00DE6702">
        <w:t>“</w:t>
      </w:r>
      <w:r>
        <w:t>simplest mechanism</w:t>
      </w:r>
      <w:r w:rsidR="00DE6702">
        <w:t xml:space="preserve"> to prevent the minimum tax</w:t>
      </w:r>
      <w:r w:rsidR="00565572">
        <w:t xml:space="preserve"> being </w:t>
      </w:r>
      <w:r w:rsidR="001B6765">
        <w:t>undermined by imposing a company</w:t>
      </w:r>
      <w:r w:rsidR="00565572">
        <w:t xml:space="preserve"> between the trust and </w:t>
      </w:r>
      <w:r w:rsidR="001B6765">
        <w:t xml:space="preserve">the ultimate </w:t>
      </w:r>
      <w:r w:rsidR="00565572">
        <w:t>beneficiar</w:t>
      </w:r>
      <w:r w:rsidR="001B6765">
        <w:t xml:space="preserve">y, </w:t>
      </w:r>
      <w:r w:rsidR="00565572">
        <w:t>without changing the imputation system”</w:t>
      </w:r>
      <w:r w:rsidR="00DE6702">
        <w:t>.</w:t>
      </w:r>
    </w:p>
    <w:p w:rsidR="00A64088" w:rsidRDefault="00565572" w:rsidP="00694AEC">
      <w:r>
        <w:t xml:space="preserve">But the overall imputation system does not need to be changed, just its operation with corporate beneficiaries of discretionary trusts. It would seem that </w:t>
      </w:r>
      <w:r w:rsidR="00A64088">
        <w:t xml:space="preserve">allowing such companies credit for the minimum tax but making the companies’ shareholders ineligible for refunds of excess franking credits would achieve the aim of ensuring those shareholders face </w:t>
      </w:r>
      <w:r w:rsidR="001B6765">
        <w:t>a</w:t>
      </w:r>
      <w:r w:rsidR="00A64088">
        <w:t xml:space="preserve"> minimum tax rate on original trust taxable income (as with </w:t>
      </w:r>
      <w:r w:rsidR="0037632B">
        <w:t xml:space="preserve">the neat design for </w:t>
      </w:r>
      <w:r w:rsidR="00A64088">
        <w:t xml:space="preserve">direct individual beneficiaries) – in circumstances where that </w:t>
      </w:r>
      <w:r w:rsidR="00A64088" w:rsidRPr="00A64088">
        <w:rPr>
          <w:i/>
        </w:rPr>
        <w:t>income is distributed in the year it is earned</w:t>
      </w:r>
      <w:r w:rsidR="00A64088">
        <w:t>.</w:t>
      </w:r>
    </w:p>
    <w:p w:rsidR="00E474B7" w:rsidRDefault="00A64088" w:rsidP="00694AEC">
      <w:r>
        <w:lastRenderedPageBreak/>
        <w:t>However, as with all companies, taxable income does not have to be distributed immediatel</w:t>
      </w:r>
      <w:r w:rsidR="008863E1">
        <w:t xml:space="preserve">y. </w:t>
      </w:r>
      <w:r w:rsidR="0037632B">
        <w:t xml:space="preserve">Thus, corporate beneficiaries </w:t>
      </w:r>
      <w:r w:rsidR="001D0187">
        <w:t xml:space="preserve">could receive current-year </w:t>
      </w:r>
      <w:r w:rsidR="0037632B">
        <w:t>income from discretionary trusts</w:t>
      </w:r>
      <w:r w:rsidR="00811299">
        <w:t xml:space="preserve"> with attached credits for the 30 per cent minimum tax. These companies could then</w:t>
      </w:r>
      <w:r w:rsidR="001D0187">
        <w:t xml:space="preserve"> continue to</w:t>
      </w:r>
      <w:r w:rsidR="0037632B">
        <w:t xml:space="preserve"> distribute that with franking credits attached </w:t>
      </w:r>
      <w:r w:rsidR="001D0187">
        <w:t xml:space="preserve">in later years </w:t>
      </w:r>
      <w:r w:rsidR="0037632B">
        <w:t>when shareholders are able to achieve their p</w:t>
      </w:r>
      <w:r w:rsidR="00E474B7">
        <w:t>referred tax outcome</w:t>
      </w:r>
      <w:r w:rsidR="001D0187">
        <w:t xml:space="preserve"> (taking into account non-refundable franking credits)</w:t>
      </w:r>
      <w:r w:rsidR="00E474B7">
        <w:t xml:space="preserve">. </w:t>
      </w:r>
      <w:r w:rsidR="00B30DD4">
        <w:t xml:space="preserve">In addition, corporate beneficiaries are unlike regular companies which are capitalised in order to undertake investments in the hope of earning profits. Corporate beneficiaries are </w:t>
      </w:r>
      <w:r w:rsidR="002313BA">
        <w:t>presumably</w:t>
      </w:r>
      <w:r w:rsidR="00B30DD4">
        <w:t xml:space="preserve"> capitalised </w:t>
      </w:r>
      <w:r w:rsidR="002313BA">
        <w:t xml:space="preserve">usually </w:t>
      </w:r>
      <w:r w:rsidR="00B30DD4">
        <w:t xml:space="preserve">just to receive </w:t>
      </w:r>
      <w:r w:rsidR="00743A41">
        <w:t xml:space="preserve">income </w:t>
      </w:r>
      <w:r w:rsidR="00466126">
        <w:t>entitlements from discretionary trusts</w:t>
      </w:r>
      <w:r w:rsidR="004B5607">
        <w:t xml:space="preserve"> – with shares not being </w:t>
      </w:r>
      <w:r w:rsidR="00466126">
        <w:t xml:space="preserve">generally </w:t>
      </w:r>
      <w:r w:rsidR="004B5607">
        <w:t>traded</w:t>
      </w:r>
      <w:r w:rsidR="00743A41">
        <w:t>. These are the reasons why</w:t>
      </w:r>
      <w:r w:rsidR="00E474B7">
        <w:t xml:space="preserve"> corporate beneficiaries commonly get labelled</w:t>
      </w:r>
      <w:r w:rsidR="0037632B">
        <w:t xml:space="preserve"> </w:t>
      </w:r>
      <w:r w:rsidR="00466126">
        <w:t>‘</w:t>
      </w:r>
      <w:r w:rsidR="00E474B7">
        <w:t>b</w:t>
      </w:r>
      <w:r w:rsidR="008863E1">
        <w:t>ucket</w:t>
      </w:r>
      <w:r w:rsidR="00466126">
        <w:t>’</w:t>
      </w:r>
      <w:r w:rsidR="008863E1">
        <w:t xml:space="preserve"> companies</w:t>
      </w:r>
      <w:r w:rsidR="00E474B7">
        <w:t xml:space="preserve"> – and </w:t>
      </w:r>
      <w:r w:rsidR="00350B03">
        <w:t>presumably</w:t>
      </w:r>
      <w:r w:rsidR="00E474B7">
        <w:t xml:space="preserve"> what the proposed </w:t>
      </w:r>
      <w:r w:rsidR="00350B03">
        <w:t xml:space="preserve">somewhat </w:t>
      </w:r>
      <w:r w:rsidR="00B30DD4">
        <w:t xml:space="preserve">inelegant </w:t>
      </w:r>
      <w:r w:rsidR="00E474B7">
        <w:t>double-tax design is primarily aimed at</w:t>
      </w:r>
      <w:r w:rsidR="008863E1">
        <w:t>.</w:t>
      </w:r>
    </w:p>
    <w:p w:rsidR="00AE7516" w:rsidRDefault="00E474B7" w:rsidP="00694AEC">
      <w:r>
        <w:t xml:space="preserve">Against these considerations, </w:t>
      </w:r>
      <w:r w:rsidR="004D2DCF">
        <w:t xml:space="preserve">perhaps consideration could be given to </w:t>
      </w:r>
      <w:r>
        <w:t>alternative</w:t>
      </w:r>
      <w:r w:rsidR="00921FA5">
        <w:t xml:space="preserve"> design that seeks to have shareholders of corporate beneficiaries </w:t>
      </w:r>
      <w:r w:rsidR="002313BA">
        <w:t xml:space="preserve">always </w:t>
      </w:r>
      <w:r w:rsidR="00921FA5">
        <w:t xml:space="preserve">taxed on the </w:t>
      </w:r>
      <w:r w:rsidR="004D2DCF">
        <w:t>current-year</w:t>
      </w:r>
      <w:r w:rsidR="00921FA5">
        <w:t xml:space="preserve"> taxable income of these companies – even when that income is retained. Such design would </w:t>
      </w:r>
      <w:r w:rsidR="00B30DD4">
        <w:t xml:space="preserve">move </w:t>
      </w:r>
      <w:r w:rsidR="00AE7516">
        <w:t>the tax treatment of corporate beneficiaries from dividend imputation to integration of taxable income. Th</w:t>
      </w:r>
      <w:r w:rsidR="00B30DD4">
        <w:t>e</w:t>
      </w:r>
      <w:r w:rsidR="00AE7516">
        <w:t xml:space="preserve"> design would involve closer alignment of </w:t>
      </w:r>
      <w:r w:rsidR="004A27D7">
        <w:t xml:space="preserve">the taxing of </w:t>
      </w:r>
      <w:r w:rsidR="00AE7516">
        <w:t xml:space="preserve">investment income </w:t>
      </w:r>
      <w:r w:rsidR="00B23DA0">
        <w:t xml:space="preserve">via </w:t>
      </w:r>
      <w:r w:rsidR="00AE7516">
        <w:t>these corporate beneficiaries</w:t>
      </w:r>
      <w:r w:rsidR="00AA3968">
        <w:t xml:space="preserve"> and the taxing of workers’ wages (</w:t>
      </w:r>
      <w:r w:rsidR="002313BA">
        <w:t xml:space="preserve">as well as </w:t>
      </w:r>
      <w:r w:rsidR="00AA3968">
        <w:t xml:space="preserve">the income of </w:t>
      </w:r>
      <w:r w:rsidR="00AE7516">
        <w:t>sole traders and</w:t>
      </w:r>
      <w:r w:rsidR="00AA3968">
        <w:t xml:space="preserve"> – because </w:t>
      </w:r>
      <w:r w:rsidR="00B30DD4">
        <w:t>of the tax incentive to distribute current-year taxable income</w:t>
      </w:r>
      <w:r w:rsidR="00AA3968">
        <w:t xml:space="preserve"> – fixed </w:t>
      </w:r>
      <w:r w:rsidR="00AE7516">
        <w:t>trusts</w:t>
      </w:r>
      <w:r w:rsidR="00AA3968">
        <w:t>)</w:t>
      </w:r>
      <w:r w:rsidR="00AE7516">
        <w:t>.</w:t>
      </w:r>
    </w:p>
    <w:p w:rsidR="00F02330" w:rsidRDefault="00BA2D27" w:rsidP="00694AEC">
      <w:r>
        <w:t xml:space="preserve">Because of the unusual characteristics of corporate beneficiaries, </w:t>
      </w:r>
      <w:r w:rsidR="00246B15">
        <w:t xml:space="preserve">it is </w:t>
      </w:r>
      <w:r w:rsidR="008A71C0">
        <w:t>in</w:t>
      </w:r>
      <w:r w:rsidR="00B23DA0">
        <w:t xml:space="preserve">appropriate to </w:t>
      </w:r>
      <w:r w:rsidR="00246B15">
        <w:t xml:space="preserve">attempt </w:t>
      </w:r>
      <w:r>
        <w:t xml:space="preserve">all-inclusive </w:t>
      </w:r>
      <w:r w:rsidR="00246B15">
        <w:t xml:space="preserve">design </w:t>
      </w:r>
      <w:r w:rsidR="008A71C0">
        <w:t>to</w:t>
      </w:r>
      <w:r w:rsidR="00246B15">
        <w:t xml:space="preserve"> </w:t>
      </w:r>
      <w:r>
        <w:t>upgrad</w:t>
      </w:r>
      <w:r w:rsidR="00246B15">
        <w:t xml:space="preserve">e </w:t>
      </w:r>
      <w:r w:rsidR="00B23DA0">
        <w:t xml:space="preserve">the operation of </w:t>
      </w:r>
      <w:r w:rsidR="00246B15">
        <w:t>imputation</w:t>
      </w:r>
      <w:r w:rsidR="008A71C0">
        <w:t xml:space="preserve"> just for them</w:t>
      </w:r>
      <w:r w:rsidR="00246B15">
        <w:t xml:space="preserve"> to integration of taxable income</w:t>
      </w:r>
      <w:r w:rsidR="00246B15">
        <w:rPr>
          <w:rStyle w:val="FootnoteReference"/>
        </w:rPr>
        <w:footnoteReference w:id="8"/>
      </w:r>
      <w:r w:rsidR="00246B15">
        <w:t xml:space="preserve">. </w:t>
      </w:r>
      <w:r w:rsidR="003A4D25">
        <w:t xml:space="preserve">Nevertheless, </w:t>
      </w:r>
      <w:r w:rsidR="008A71C0">
        <w:t xml:space="preserve">selected </w:t>
      </w:r>
      <w:r w:rsidR="003A4D25">
        <w:t>basic design feature</w:t>
      </w:r>
      <w:r w:rsidR="008A71C0">
        <w:t>s</w:t>
      </w:r>
      <w:r w:rsidR="003A4D25">
        <w:t xml:space="preserve"> of integration could be considered as </w:t>
      </w:r>
      <w:r w:rsidR="008A71C0">
        <w:t xml:space="preserve">a </w:t>
      </w:r>
      <w:r w:rsidR="003A4D25">
        <w:t xml:space="preserve">simplified </w:t>
      </w:r>
      <w:r w:rsidR="00F02330">
        <w:t xml:space="preserve">integration design </w:t>
      </w:r>
      <w:r w:rsidR="008A71C0">
        <w:t xml:space="preserve">dedicated to </w:t>
      </w:r>
      <w:r w:rsidR="00F02330">
        <w:t>corporate beneficiaries</w:t>
      </w:r>
      <w:r w:rsidR="008A71C0">
        <w:t xml:space="preserve"> – focused on </w:t>
      </w:r>
      <w:r w:rsidR="00F02330">
        <w:t>hav</w:t>
      </w:r>
      <w:r w:rsidR="008A71C0">
        <w:t>ing</w:t>
      </w:r>
      <w:r w:rsidR="00F02330">
        <w:t xml:space="preserve"> these companies’ individual shareholders taxed at </w:t>
      </w:r>
      <w:r w:rsidR="002313BA">
        <w:t xml:space="preserve">a minimum 30 per cent rate (rather than </w:t>
      </w:r>
      <w:r w:rsidR="00AA3968">
        <w:t>lower</w:t>
      </w:r>
      <w:r w:rsidR="00F02330">
        <w:t xml:space="preserve"> personal tax rates</w:t>
      </w:r>
      <w:r w:rsidR="002313BA">
        <w:t>)</w:t>
      </w:r>
      <w:r w:rsidR="00F02330">
        <w:t xml:space="preserve"> </w:t>
      </w:r>
      <w:r w:rsidR="00AA3968">
        <w:t>whether or not</w:t>
      </w:r>
      <w:r w:rsidR="00F02330">
        <w:t xml:space="preserve"> their companies retain current-year taxable income.</w:t>
      </w:r>
    </w:p>
    <w:p w:rsidR="007B12EA" w:rsidRDefault="00F02330" w:rsidP="00694AEC">
      <w:r>
        <w:t xml:space="preserve">In more specific terms, if corporate beneficiaries do not distribute </w:t>
      </w:r>
      <w:r w:rsidR="007B12EA">
        <w:t xml:space="preserve">all of their </w:t>
      </w:r>
      <w:r>
        <w:t>current-year taxed income</w:t>
      </w:r>
      <w:r w:rsidR="00EC1BAD">
        <w:t>,</w:t>
      </w:r>
      <w:r w:rsidR="007B12EA">
        <w:t xml:space="preserve"> t</w:t>
      </w:r>
      <w:r>
        <w:t xml:space="preserve">he taxed income </w:t>
      </w:r>
      <w:r w:rsidR="007B12EA">
        <w:t xml:space="preserve">retained </w:t>
      </w:r>
      <w:r>
        <w:t>would be treated like a dividend reinvestment</w:t>
      </w:r>
      <w:r w:rsidR="007B12EA">
        <w:t xml:space="preserve"> arrangement</w:t>
      </w:r>
      <w:r>
        <w:t xml:space="preserve">, </w:t>
      </w:r>
      <w:r w:rsidR="007B12EA">
        <w:t>so that:</w:t>
      </w:r>
    </w:p>
    <w:p w:rsidR="007B12EA" w:rsidRDefault="004C4488" w:rsidP="004C4488">
      <w:pPr>
        <w:pStyle w:val="ListParagraph"/>
        <w:numPr>
          <w:ilvl w:val="0"/>
          <w:numId w:val="3"/>
        </w:numPr>
      </w:pPr>
      <w:r>
        <w:t>s</w:t>
      </w:r>
      <w:r w:rsidR="007B12EA">
        <w:t>hareholders are taxed on their share of the retained taxed income plus imputation credits (non-refundable</w:t>
      </w:r>
      <w:r>
        <w:t>, as discussed</w:t>
      </w:r>
      <w:r w:rsidR="007B12EA">
        <w:t>)</w:t>
      </w:r>
      <w:r>
        <w:t>;</w:t>
      </w:r>
    </w:p>
    <w:p w:rsidR="004B5607" w:rsidRDefault="004C4488" w:rsidP="004C4488">
      <w:pPr>
        <w:pStyle w:val="ListParagraph"/>
        <w:numPr>
          <w:ilvl w:val="0"/>
          <w:numId w:val="3"/>
        </w:numPr>
      </w:pPr>
      <w:r>
        <w:t>t</w:t>
      </w:r>
      <w:r w:rsidR="004B5607">
        <w:t>he retained taxed income is added to the corporate beneficiaries’ contributed capital account</w:t>
      </w:r>
      <w:r>
        <w:t>;</w:t>
      </w:r>
      <w:r w:rsidR="00AA3968">
        <w:t xml:space="preserve"> and</w:t>
      </w:r>
    </w:p>
    <w:p w:rsidR="004B5607" w:rsidRDefault="004B5607" w:rsidP="004C4488">
      <w:pPr>
        <w:pStyle w:val="ListParagraph"/>
        <w:numPr>
          <w:ilvl w:val="0"/>
          <w:numId w:val="3"/>
        </w:numPr>
      </w:pPr>
      <w:r>
        <w:t>CGT</w:t>
      </w:r>
      <w:r w:rsidR="00FD4E34">
        <w:t xml:space="preserve"> cost bases of existing shares are increased commensurately</w:t>
      </w:r>
      <w:r w:rsidR="00EC1BAD">
        <w:t xml:space="preserve"> with the value of the retained taxed income, substituting for the issuing of new shares (consistent with AMIT design</w:t>
      </w:r>
      <w:r w:rsidR="00EC1BAD">
        <w:rPr>
          <w:rStyle w:val="FootnoteReference"/>
        </w:rPr>
        <w:footnoteReference w:id="9"/>
      </w:r>
      <w:r w:rsidR="00EC1BAD">
        <w:t xml:space="preserve"> or integration design for regular companies</w:t>
      </w:r>
      <w:r w:rsidR="00EC1BAD">
        <w:rPr>
          <w:rStyle w:val="FootnoteReference"/>
        </w:rPr>
        <w:footnoteReference w:id="10"/>
      </w:r>
      <w:r w:rsidR="00EC1BAD">
        <w:t>)</w:t>
      </w:r>
      <w:r w:rsidR="004C4488">
        <w:t>.</w:t>
      </w:r>
      <w:r>
        <w:t xml:space="preserve">   </w:t>
      </w:r>
    </w:p>
    <w:p w:rsidR="00ED034A" w:rsidRDefault="008B3860" w:rsidP="00FD4E34">
      <w:r>
        <w:t>O</w:t>
      </w:r>
      <w:r w:rsidR="00FD4E34">
        <w:t>rdinary shares</w:t>
      </w:r>
      <w:r>
        <w:t xml:space="preserve"> could also be</w:t>
      </w:r>
      <w:r w:rsidR="004C4488">
        <w:t xml:space="preserve"> </w:t>
      </w:r>
      <w:r w:rsidR="00FD4E34">
        <w:t>the only class of share allowed</w:t>
      </w:r>
      <w:r w:rsidR="00AA3968">
        <w:t xml:space="preserve"> and the 30 per cent corporate rate</w:t>
      </w:r>
      <w:r>
        <w:t xml:space="preserve"> always</w:t>
      </w:r>
      <w:r w:rsidR="00AA3968">
        <w:t xml:space="preserve"> applie</w:t>
      </w:r>
      <w:r>
        <w:t>d,</w:t>
      </w:r>
      <w:r w:rsidR="00AA3968">
        <w:t xml:space="preserve"> if necessary</w:t>
      </w:r>
      <w:r>
        <w:t>,</w:t>
      </w:r>
      <w:r w:rsidR="00AA3968">
        <w:t xml:space="preserve"> to </w:t>
      </w:r>
      <w:r>
        <w:t>ensure</w:t>
      </w:r>
      <w:r w:rsidR="00AA3968">
        <w:t xml:space="preserve"> </w:t>
      </w:r>
      <w:r>
        <w:t xml:space="preserve">a 30 per cent minimum tax rate for their </w:t>
      </w:r>
      <w:r w:rsidR="00AA3968">
        <w:t>shareholders’</w:t>
      </w:r>
      <w:r w:rsidR="00FD4E34">
        <w:t>.</w:t>
      </w:r>
    </w:p>
    <w:p w:rsidR="00FD4E34" w:rsidRDefault="004C4488" w:rsidP="00FD4E34">
      <w:r>
        <w:t>If implemented, such cut-down integration design could even arouse more interest in</w:t>
      </w:r>
      <w:r w:rsidR="00EC1BAD">
        <w:t>,</w:t>
      </w:r>
      <w:r>
        <w:t xml:space="preserve"> and consideration being given to</w:t>
      </w:r>
      <w:r w:rsidR="00EC1BAD">
        <w:t>,</w:t>
      </w:r>
      <w:r>
        <w:t xml:space="preserve"> applying all-inclusive design of integration of taxable income (with refundable franking credits retained) to upgrade Australia’s </w:t>
      </w:r>
      <w:r w:rsidR="00EC1BAD">
        <w:t>full</w:t>
      </w:r>
      <w:r>
        <w:t xml:space="preserve"> imputation corporate tax system</w:t>
      </w:r>
      <w:r w:rsidR="00FD4E34">
        <w:t>.</w:t>
      </w:r>
    </w:p>
    <w:p w:rsidR="005A1D65" w:rsidRPr="00552EEC" w:rsidRDefault="006D1EDE" w:rsidP="00FD4E34">
      <w:pPr>
        <w:rPr>
          <w:b/>
        </w:rPr>
      </w:pPr>
      <w:r>
        <w:rPr>
          <w:b/>
        </w:rPr>
        <w:lastRenderedPageBreak/>
        <w:t xml:space="preserve">4. </w:t>
      </w:r>
      <w:r w:rsidR="005A1D65" w:rsidRPr="00552EEC">
        <w:rPr>
          <w:b/>
        </w:rPr>
        <w:t>TRUST</w:t>
      </w:r>
      <w:r w:rsidR="00FF5892">
        <w:rPr>
          <w:b/>
        </w:rPr>
        <w:t>EE</w:t>
      </w:r>
      <w:r w:rsidR="005A1D65" w:rsidRPr="00552EEC">
        <w:rPr>
          <w:b/>
        </w:rPr>
        <w:t>’S EXCESS FRANKING CREDITS</w:t>
      </w:r>
    </w:p>
    <w:p w:rsidR="00B02BB7" w:rsidRDefault="00B02BB7" w:rsidP="00FD4E34">
      <w:r>
        <w:t>The ideal treatment of excess franking credits of discretionary trusts under the proposed minimum tax design seems clear</w:t>
      </w:r>
      <w:r w:rsidR="00076A0F">
        <w:t xml:space="preserve"> (Option 1</w:t>
      </w:r>
      <w:r w:rsidR="00FF5892">
        <w:t>, the immediate refund of excess credits</w:t>
      </w:r>
      <w:r w:rsidR="00076A0F">
        <w:t>)</w:t>
      </w:r>
      <w:r>
        <w:t>. However, practical integrity issues may need additional consideration.</w:t>
      </w:r>
    </w:p>
    <w:p w:rsidR="00370C4D" w:rsidRDefault="00FF01B2" w:rsidP="00FD4E34">
      <w:r>
        <w:t xml:space="preserve">The cameo putting numbers on the two options presented in the consultation paper for handling Trust E’s excess franking credits </w:t>
      </w:r>
      <w:r w:rsidR="00054C95">
        <w:t xml:space="preserve">(p 13) </w:t>
      </w:r>
      <w:r>
        <w:t xml:space="preserve">shows clearly how the $15,000 excess of franking credits results from the reduction in the trust’s taxable income by </w:t>
      </w:r>
      <w:r w:rsidR="00EC1BAD">
        <w:t xml:space="preserve">the </w:t>
      </w:r>
      <w:r>
        <w:t>$50,000 of general expenses.</w:t>
      </w:r>
      <w:r w:rsidR="00FF5892">
        <w:t xml:space="preserve"> That is reflected in Columns (2) and (3) in Table 1</w:t>
      </w:r>
      <w:r w:rsidR="00054C95">
        <w:t>, where Column (3) represents Option 1</w:t>
      </w:r>
      <w:r w:rsidR="00FF5892">
        <w:t>.</w:t>
      </w:r>
      <w:r>
        <w:t xml:space="preserve"> </w:t>
      </w:r>
    </w:p>
    <w:p w:rsidR="00BA7C91" w:rsidRDefault="00F27081" w:rsidP="00FD4E34">
      <w:r>
        <w:t xml:space="preserve">As </w:t>
      </w:r>
      <w:r w:rsidR="00FF5892">
        <w:t xml:space="preserve">also </w:t>
      </w:r>
      <w:r>
        <w:t>shown in Columns (</w:t>
      </w:r>
      <w:r w:rsidR="00380272">
        <w:t>2</w:t>
      </w:r>
      <w:r>
        <w:t>) and (</w:t>
      </w:r>
      <w:r w:rsidR="00380272">
        <w:t>3</w:t>
      </w:r>
      <w:r>
        <w:t xml:space="preserve">) in Table 1, </w:t>
      </w:r>
      <w:r w:rsidR="003E6CB0">
        <w:t>where immediate refunds apply at the trust level,</w:t>
      </w:r>
      <w:r w:rsidR="00370C4D">
        <w:t xml:space="preserve"> the </w:t>
      </w:r>
      <w:r w:rsidR="00BA7C91">
        <w:t xml:space="preserve">company and discretionary trust </w:t>
      </w:r>
      <w:r w:rsidR="00370C4D">
        <w:t xml:space="preserve">30 per cent tax rate </w:t>
      </w:r>
      <w:r w:rsidR="00BA7C91">
        <w:t>continue</w:t>
      </w:r>
      <w:r w:rsidR="003E6CB0">
        <w:t>s</w:t>
      </w:r>
      <w:r w:rsidR="00BA7C91">
        <w:t xml:space="preserve"> to </w:t>
      </w:r>
      <w:r w:rsidR="00370C4D">
        <w:t>apply</w:t>
      </w:r>
      <w:r w:rsidR="00BA7C91">
        <w:t xml:space="preserve"> </w:t>
      </w:r>
      <w:r w:rsidR="00370C4D">
        <w:t xml:space="preserve">to </w:t>
      </w:r>
      <w:r w:rsidR="00B02BB7">
        <w:t xml:space="preserve">the $150,000 of </w:t>
      </w:r>
      <w:r w:rsidR="00370C4D">
        <w:t xml:space="preserve">current-year </w:t>
      </w:r>
      <w:r w:rsidR="00B02BB7">
        <w:t xml:space="preserve">taxable </w:t>
      </w:r>
      <w:r w:rsidR="00370C4D">
        <w:t xml:space="preserve">income </w:t>
      </w:r>
      <w:r w:rsidR="00BA7C91">
        <w:t xml:space="preserve">as it </w:t>
      </w:r>
      <w:r w:rsidR="00370C4D">
        <w:t>pass</w:t>
      </w:r>
      <w:r w:rsidR="00BA7C91">
        <w:t>es</w:t>
      </w:r>
      <w:r w:rsidR="00370C4D">
        <w:t xml:space="preserve"> down the discretionary trust chain. </w:t>
      </w:r>
    </w:p>
    <w:p w:rsidR="001876FA" w:rsidRPr="001876FA" w:rsidRDefault="001876FA" w:rsidP="001876FA">
      <w:pPr>
        <w:spacing w:after="0"/>
        <w:rPr>
          <w:b/>
        </w:rPr>
      </w:pPr>
      <w:r w:rsidRPr="001876FA">
        <w:rPr>
          <w:b/>
        </w:rPr>
        <w:t>TABLE 1: TREATMENT OF TRUST</w:t>
      </w:r>
      <w:r w:rsidR="00FF5892">
        <w:rPr>
          <w:b/>
        </w:rPr>
        <w:t>EE’S</w:t>
      </w:r>
      <w:r w:rsidRPr="001876FA">
        <w:rPr>
          <w:b/>
        </w:rPr>
        <w:t xml:space="preserve"> EXCESS </w:t>
      </w:r>
      <w:r w:rsidR="00380272">
        <w:rPr>
          <w:b/>
        </w:rPr>
        <w:t>TAX</w:t>
      </w:r>
      <w:r w:rsidRPr="001876FA">
        <w:rPr>
          <w:b/>
        </w:rPr>
        <w:t xml:space="preserve"> CREDITS</w:t>
      </w:r>
      <w:r>
        <w:rPr>
          <w:rStyle w:val="FootnoteReference"/>
          <w:b/>
        </w:rPr>
        <w:footnoteReference w:id="11"/>
      </w:r>
    </w:p>
    <w:tbl>
      <w:tblPr>
        <w:tblStyle w:val="TableGrid"/>
        <w:tblW w:w="0" w:type="auto"/>
        <w:tblLook w:val="04A0" w:firstRow="1" w:lastRow="0" w:firstColumn="1" w:lastColumn="0" w:noHBand="0" w:noVBand="1"/>
      </w:tblPr>
      <w:tblGrid>
        <w:gridCol w:w="2518"/>
        <w:gridCol w:w="2268"/>
        <w:gridCol w:w="2268"/>
        <w:gridCol w:w="2188"/>
      </w:tblGrid>
      <w:tr w:rsidR="00BA7C91" w:rsidRPr="00B948AB" w:rsidTr="00DB744F">
        <w:tc>
          <w:tcPr>
            <w:tcW w:w="2518" w:type="dxa"/>
            <w:shd w:val="clear" w:color="auto" w:fill="EEECE1" w:themeFill="background2"/>
          </w:tcPr>
          <w:p w:rsidR="00BA7C91" w:rsidRDefault="00BA7C91" w:rsidP="00BA7C91">
            <w:pPr>
              <w:jc w:val="center"/>
              <w:rPr>
                <w:b/>
              </w:rPr>
            </w:pPr>
            <w:r w:rsidRPr="00B948AB">
              <w:rPr>
                <w:b/>
              </w:rPr>
              <w:t>Line item</w:t>
            </w:r>
          </w:p>
          <w:p w:rsidR="00B948AB" w:rsidRPr="00B948AB" w:rsidRDefault="00B948AB" w:rsidP="00BA7C91">
            <w:pPr>
              <w:jc w:val="center"/>
              <w:rPr>
                <w:b/>
              </w:rPr>
            </w:pPr>
          </w:p>
          <w:p w:rsidR="00BA7C91" w:rsidRPr="00B948AB" w:rsidRDefault="00BA7C91" w:rsidP="00FC4B5B">
            <w:pPr>
              <w:jc w:val="center"/>
              <w:rPr>
                <w:b/>
              </w:rPr>
            </w:pPr>
            <w:r w:rsidRPr="00B948AB">
              <w:rPr>
                <w:b/>
              </w:rPr>
              <w:t>(</w:t>
            </w:r>
            <w:r w:rsidR="00FC4B5B">
              <w:rPr>
                <w:b/>
              </w:rPr>
              <w:t>1</w:t>
            </w:r>
            <w:r w:rsidRPr="00B948AB">
              <w:rPr>
                <w:b/>
              </w:rPr>
              <w:t>)</w:t>
            </w:r>
          </w:p>
        </w:tc>
        <w:tc>
          <w:tcPr>
            <w:tcW w:w="2268" w:type="dxa"/>
            <w:shd w:val="clear" w:color="auto" w:fill="EEECE1" w:themeFill="background2"/>
          </w:tcPr>
          <w:p w:rsidR="00BA7C91" w:rsidRPr="00B948AB" w:rsidRDefault="00BA7C91" w:rsidP="00BA7C91">
            <w:pPr>
              <w:jc w:val="center"/>
              <w:rPr>
                <w:b/>
              </w:rPr>
            </w:pPr>
            <w:r w:rsidRPr="00B948AB">
              <w:rPr>
                <w:b/>
              </w:rPr>
              <w:t>Trust refund</w:t>
            </w:r>
          </w:p>
          <w:p w:rsidR="00BA7C91" w:rsidRPr="00B948AB" w:rsidRDefault="00BA7C91" w:rsidP="00BA7C91">
            <w:pPr>
              <w:jc w:val="center"/>
              <w:rPr>
                <w:b/>
              </w:rPr>
            </w:pPr>
            <w:r w:rsidRPr="00B948AB">
              <w:rPr>
                <w:b/>
              </w:rPr>
              <w:t>Individual refund</w:t>
            </w:r>
          </w:p>
          <w:p w:rsidR="00BA7C91" w:rsidRPr="00B948AB" w:rsidRDefault="00BA7C91" w:rsidP="00BA7C91">
            <w:pPr>
              <w:jc w:val="center"/>
              <w:rPr>
                <w:b/>
              </w:rPr>
            </w:pPr>
            <w:r w:rsidRPr="00B948AB">
              <w:rPr>
                <w:b/>
              </w:rPr>
              <w:t>(</w:t>
            </w:r>
            <w:r w:rsidR="00FC4B5B">
              <w:rPr>
                <w:b/>
              </w:rPr>
              <w:t>2</w:t>
            </w:r>
            <w:r w:rsidRPr="00B948AB">
              <w:rPr>
                <w:b/>
              </w:rPr>
              <w:t>)</w:t>
            </w:r>
          </w:p>
          <w:p w:rsidR="00BA7C91" w:rsidRPr="00B948AB" w:rsidRDefault="00BA7C91" w:rsidP="00076A0F">
            <w:pPr>
              <w:jc w:val="center"/>
              <w:rPr>
                <w:b/>
              </w:rPr>
            </w:pPr>
            <w:r w:rsidRPr="00B948AB">
              <w:rPr>
                <w:b/>
              </w:rPr>
              <w:t>$000</w:t>
            </w:r>
            <w:r w:rsidR="00076A0F">
              <w:rPr>
                <w:b/>
              </w:rPr>
              <w:t>’s</w:t>
            </w:r>
          </w:p>
        </w:tc>
        <w:tc>
          <w:tcPr>
            <w:tcW w:w="2268" w:type="dxa"/>
            <w:shd w:val="clear" w:color="auto" w:fill="EEECE1" w:themeFill="background2"/>
          </w:tcPr>
          <w:p w:rsidR="00BA7C91" w:rsidRPr="00B948AB" w:rsidRDefault="00BA7C91" w:rsidP="00BA7C91">
            <w:pPr>
              <w:jc w:val="center"/>
              <w:rPr>
                <w:b/>
              </w:rPr>
            </w:pPr>
            <w:r w:rsidRPr="00B948AB">
              <w:rPr>
                <w:b/>
              </w:rPr>
              <w:t>Trust refund</w:t>
            </w:r>
          </w:p>
          <w:p w:rsidR="00BA7C91" w:rsidRPr="00B948AB" w:rsidRDefault="00BA7C91" w:rsidP="00BA7C91">
            <w:pPr>
              <w:jc w:val="center"/>
              <w:rPr>
                <w:b/>
              </w:rPr>
            </w:pPr>
            <w:r w:rsidRPr="00B948AB">
              <w:rPr>
                <w:b/>
              </w:rPr>
              <w:t>No individual refund</w:t>
            </w:r>
          </w:p>
          <w:p w:rsidR="00BA7C91" w:rsidRPr="00B948AB" w:rsidRDefault="00BA7C91" w:rsidP="00BA7C91">
            <w:pPr>
              <w:jc w:val="center"/>
              <w:rPr>
                <w:b/>
              </w:rPr>
            </w:pPr>
            <w:r w:rsidRPr="00B948AB">
              <w:rPr>
                <w:b/>
              </w:rPr>
              <w:t>(</w:t>
            </w:r>
            <w:r w:rsidR="00FC4B5B">
              <w:rPr>
                <w:b/>
              </w:rPr>
              <w:t>3</w:t>
            </w:r>
            <w:r w:rsidRPr="00B948AB">
              <w:rPr>
                <w:b/>
              </w:rPr>
              <w:t>)</w:t>
            </w:r>
          </w:p>
          <w:p w:rsidR="00BA7C91" w:rsidRPr="00B948AB" w:rsidRDefault="00BA7C91" w:rsidP="00076A0F">
            <w:pPr>
              <w:jc w:val="center"/>
              <w:rPr>
                <w:b/>
              </w:rPr>
            </w:pPr>
            <w:r w:rsidRPr="00B948AB">
              <w:rPr>
                <w:b/>
              </w:rPr>
              <w:t>$000</w:t>
            </w:r>
            <w:r w:rsidR="00076A0F">
              <w:rPr>
                <w:b/>
              </w:rPr>
              <w:t>’s</w:t>
            </w:r>
          </w:p>
        </w:tc>
        <w:tc>
          <w:tcPr>
            <w:tcW w:w="2188" w:type="dxa"/>
            <w:shd w:val="clear" w:color="auto" w:fill="EEECE1" w:themeFill="background2"/>
          </w:tcPr>
          <w:p w:rsidR="00BA7C91" w:rsidRPr="00B948AB" w:rsidRDefault="00B948AB" w:rsidP="00BA7C91">
            <w:pPr>
              <w:jc w:val="center"/>
              <w:rPr>
                <w:b/>
              </w:rPr>
            </w:pPr>
            <w:r w:rsidRPr="00B948AB">
              <w:rPr>
                <w:b/>
              </w:rPr>
              <w:t>No t</w:t>
            </w:r>
            <w:r w:rsidR="00BA7C91" w:rsidRPr="00B948AB">
              <w:rPr>
                <w:b/>
              </w:rPr>
              <w:t>rust refund</w:t>
            </w:r>
          </w:p>
          <w:p w:rsidR="00BA7C91" w:rsidRPr="00B948AB" w:rsidRDefault="00B948AB" w:rsidP="00BA7C91">
            <w:pPr>
              <w:jc w:val="center"/>
              <w:rPr>
                <w:b/>
              </w:rPr>
            </w:pPr>
            <w:r w:rsidRPr="00B948AB">
              <w:rPr>
                <w:b/>
              </w:rPr>
              <w:t>No i</w:t>
            </w:r>
            <w:r w:rsidR="00BA7C91" w:rsidRPr="00B948AB">
              <w:rPr>
                <w:b/>
              </w:rPr>
              <w:t>ndividual refund</w:t>
            </w:r>
          </w:p>
          <w:p w:rsidR="00BA7C91" w:rsidRPr="00B948AB" w:rsidRDefault="00BA7C91" w:rsidP="00BA7C91">
            <w:pPr>
              <w:jc w:val="center"/>
              <w:rPr>
                <w:b/>
              </w:rPr>
            </w:pPr>
            <w:r w:rsidRPr="00B948AB">
              <w:rPr>
                <w:b/>
              </w:rPr>
              <w:t>(</w:t>
            </w:r>
            <w:r w:rsidR="00FC4B5B">
              <w:rPr>
                <w:b/>
              </w:rPr>
              <w:t>4</w:t>
            </w:r>
            <w:r w:rsidRPr="00B948AB">
              <w:rPr>
                <w:b/>
              </w:rPr>
              <w:t>)</w:t>
            </w:r>
          </w:p>
          <w:p w:rsidR="00BA7C91" w:rsidRPr="00B948AB" w:rsidRDefault="00BA7C91" w:rsidP="00076A0F">
            <w:pPr>
              <w:jc w:val="center"/>
              <w:rPr>
                <w:b/>
              </w:rPr>
            </w:pPr>
            <w:r w:rsidRPr="00B948AB">
              <w:rPr>
                <w:b/>
              </w:rPr>
              <w:t>$000</w:t>
            </w:r>
            <w:r w:rsidR="00076A0F">
              <w:rPr>
                <w:b/>
              </w:rPr>
              <w:t>’s</w:t>
            </w:r>
          </w:p>
        </w:tc>
      </w:tr>
      <w:tr w:rsidR="00BA7C91" w:rsidTr="00DB744F">
        <w:tc>
          <w:tcPr>
            <w:tcW w:w="2518" w:type="dxa"/>
            <w:shd w:val="clear" w:color="auto" w:fill="EEECE1" w:themeFill="background2"/>
          </w:tcPr>
          <w:p w:rsidR="00BA7C91" w:rsidRPr="00B948AB" w:rsidRDefault="00B948AB" w:rsidP="00FD4E34">
            <w:pPr>
              <w:rPr>
                <w:b/>
              </w:rPr>
            </w:pPr>
            <w:r w:rsidRPr="00B948AB">
              <w:rPr>
                <w:b/>
              </w:rPr>
              <w:t>Trust D/Company C</w:t>
            </w:r>
          </w:p>
        </w:tc>
        <w:tc>
          <w:tcPr>
            <w:tcW w:w="2268" w:type="dxa"/>
          </w:tcPr>
          <w:p w:rsidR="00BA7C91" w:rsidRDefault="00BA7C91" w:rsidP="00340736">
            <w:pPr>
              <w:jc w:val="center"/>
            </w:pPr>
          </w:p>
        </w:tc>
        <w:tc>
          <w:tcPr>
            <w:tcW w:w="2268" w:type="dxa"/>
          </w:tcPr>
          <w:p w:rsidR="00BA7C91" w:rsidRDefault="00BA7C91" w:rsidP="00340736">
            <w:pPr>
              <w:jc w:val="center"/>
            </w:pPr>
          </w:p>
        </w:tc>
        <w:tc>
          <w:tcPr>
            <w:tcW w:w="2188" w:type="dxa"/>
          </w:tcPr>
          <w:p w:rsidR="00BA7C91" w:rsidRDefault="00BA7C91" w:rsidP="00340736">
            <w:pPr>
              <w:jc w:val="center"/>
            </w:pPr>
          </w:p>
        </w:tc>
      </w:tr>
      <w:tr w:rsidR="00340736" w:rsidTr="00DB744F">
        <w:tc>
          <w:tcPr>
            <w:tcW w:w="2518" w:type="dxa"/>
          </w:tcPr>
          <w:p w:rsidR="00340736" w:rsidRDefault="00340736" w:rsidP="00FD4E34">
            <w:r>
              <w:t>Taxable income</w:t>
            </w:r>
          </w:p>
        </w:tc>
        <w:tc>
          <w:tcPr>
            <w:tcW w:w="2268" w:type="dxa"/>
          </w:tcPr>
          <w:p w:rsidR="00340736" w:rsidRDefault="00340736" w:rsidP="00340736">
            <w:pPr>
              <w:jc w:val="center"/>
            </w:pPr>
            <w:r>
              <w:t>200</w:t>
            </w:r>
          </w:p>
        </w:tc>
        <w:tc>
          <w:tcPr>
            <w:tcW w:w="2268" w:type="dxa"/>
          </w:tcPr>
          <w:p w:rsidR="00340736" w:rsidRDefault="00340736" w:rsidP="00FF5892">
            <w:pPr>
              <w:jc w:val="center"/>
            </w:pPr>
            <w:r>
              <w:t>200</w:t>
            </w:r>
          </w:p>
        </w:tc>
        <w:tc>
          <w:tcPr>
            <w:tcW w:w="2188" w:type="dxa"/>
          </w:tcPr>
          <w:p w:rsidR="00340736" w:rsidRDefault="00340736" w:rsidP="00FF5892">
            <w:pPr>
              <w:jc w:val="center"/>
            </w:pPr>
            <w:r>
              <w:t>200</w:t>
            </w:r>
          </w:p>
        </w:tc>
      </w:tr>
      <w:tr w:rsidR="00340736" w:rsidTr="00DB744F">
        <w:tc>
          <w:tcPr>
            <w:tcW w:w="2518" w:type="dxa"/>
          </w:tcPr>
          <w:p w:rsidR="00340736" w:rsidRDefault="00340736" w:rsidP="00FD4E34">
            <w:r>
              <w:t>Tax (at 30%)</w:t>
            </w:r>
          </w:p>
        </w:tc>
        <w:tc>
          <w:tcPr>
            <w:tcW w:w="2268" w:type="dxa"/>
          </w:tcPr>
          <w:p w:rsidR="00340736" w:rsidRDefault="00340736" w:rsidP="00340736">
            <w:pPr>
              <w:jc w:val="center"/>
            </w:pPr>
            <w:r>
              <w:t>-60</w:t>
            </w:r>
          </w:p>
        </w:tc>
        <w:tc>
          <w:tcPr>
            <w:tcW w:w="2268" w:type="dxa"/>
          </w:tcPr>
          <w:p w:rsidR="00340736" w:rsidRDefault="00FC4B5B" w:rsidP="00FF5892">
            <w:pPr>
              <w:jc w:val="center"/>
            </w:pPr>
            <w:r>
              <w:t>-</w:t>
            </w:r>
            <w:r w:rsidR="00340736">
              <w:t>60</w:t>
            </w:r>
          </w:p>
        </w:tc>
        <w:tc>
          <w:tcPr>
            <w:tcW w:w="2188" w:type="dxa"/>
          </w:tcPr>
          <w:p w:rsidR="00340736" w:rsidRDefault="00FC4B5B" w:rsidP="00FF5892">
            <w:pPr>
              <w:jc w:val="center"/>
            </w:pPr>
            <w:r>
              <w:t>-</w:t>
            </w:r>
            <w:r w:rsidR="00340736">
              <w:t>60</w:t>
            </w:r>
          </w:p>
        </w:tc>
      </w:tr>
      <w:tr w:rsidR="00340736" w:rsidTr="00DB744F">
        <w:tc>
          <w:tcPr>
            <w:tcW w:w="2518" w:type="dxa"/>
          </w:tcPr>
          <w:p w:rsidR="00340736" w:rsidRDefault="00FC4B5B" w:rsidP="00FD4E34">
            <w:r>
              <w:t>Distribution</w:t>
            </w:r>
          </w:p>
        </w:tc>
        <w:tc>
          <w:tcPr>
            <w:tcW w:w="2268" w:type="dxa"/>
          </w:tcPr>
          <w:p w:rsidR="00340736" w:rsidRDefault="00340736" w:rsidP="00340736">
            <w:pPr>
              <w:jc w:val="center"/>
            </w:pPr>
            <w:r>
              <w:t>140</w:t>
            </w:r>
          </w:p>
        </w:tc>
        <w:tc>
          <w:tcPr>
            <w:tcW w:w="2268" w:type="dxa"/>
          </w:tcPr>
          <w:p w:rsidR="00340736" w:rsidRDefault="00340736" w:rsidP="00FF5892">
            <w:pPr>
              <w:jc w:val="center"/>
            </w:pPr>
            <w:r>
              <w:t>140</w:t>
            </w:r>
          </w:p>
        </w:tc>
        <w:tc>
          <w:tcPr>
            <w:tcW w:w="2188" w:type="dxa"/>
          </w:tcPr>
          <w:p w:rsidR="00340736" w:rsidRDefault="00340736" w:rsidP="00FF5892">
            <w:pPr>
              <w:jc w:val="center"/>
            </w:pPr>
            <w:r>
              <w:t>140</w:t>
            </w:r>
          </w:p>
        </w:tc>
      </w:tr>
      <w:tr w:rsidR="00340736" w:rsidTr="00DB744F">
        <w:tc>
          <w:tcPr>
            <w:tcW w:w="2518" w:type="dxa"/>
            <w:shd w:val="clear" w:color="auto" w:fill="EEECE1" w:themeFill="background2"/>
          </w:tcPr>
          <w:p w:rsidR="00340736" w:rsidRPr="00B948AB" w:rsidRDefault="00340736" w:rsidP="00FD4E34">
            <w:pPr>
              <w:rPr>
                <w:b/>
              </w:rPr>
            </w:pPr>
            <w:r w:rsidRPr="00B948AB">
              <w:rPr>
                <w:b/>
              </w:rPr>
              <w:t>Trust E</w:t>
            </w:r>
          </w:p>
        </w:tc>
        <w:tc>
          <w:tcPr>
            <w:tcW w:w="2268" w:type="dxa"/>
          </w:tcPr>
          <w:p w:rsidR="00340736" w:rsidRDefault="00340736" w:rsidP="00340736">
            <w:pPr>
              <w:jc w:val="center"/>
            </w:pPr>
          </w:p>
        </w:tc>
        <w:tc>
          <w:tcPr>
            <w:tcW w:w="2268" w:type="dxa"/>
          </w:tcPr>
          <w:p w:rsidR="00340736" w:rsidRDefault="00340736" w:rsidP="00340736">
            <w:pPr>
              <w:jc w:val="center"/>
            </w:pPr>
          </w:p>
        </w:tc>
        <w:tc>
          <w:tcPr>
            <w:tcW w:w="2188" w:type="dxa"/>
          </w:tcPr>
          <w:p w:rsidR="00340736" w:rsidRDefault="00340736" w:rsidP="00340736">
            <w:pPr>
              <w:jc w:val="center"/>
            </w:pPr>
          </w:p>
        </w:tc>
      </w:tr>
      <w:tr w:rsidR="00340736" w:rsidTr="00DB744F">
        <w:tc>
          <w:tcPr>
            <w:tcW w:w="2518" w:type="dxa"/>
          </w:tcPr>
          <w:p w:rsidR="00340736" w:rsidRDefault="00340736" w:rsidP="00FD4E34">
            <w:r>
              <w:t>Expenses</w:t>
            </w:r>
          </w:p>
        </w:tc>
        <w:tc>
          <w:tcPr>
            <w:tcW w:w="2268" w:type="dxa"/>
          </w:tcPr>
          <w:p w:rsidR="00340736" w:rsidRDefault="00FC4B5B" w:rsidP="00340736">
            <w:pPr>
              <w:jc w:val="center"/>
            </w:pPr>
            <w:r>
              <w:t>-50</w:t>
            </w:r>
          </w:p>
        </w:tc>
        <w:tc>
          <w:tcPr>
            <w:tcW w:w="2268" w:type="dxa"/>
          </w:tcPr>
          <w:p w:rsidR="00340736" w:rsidRDefault="00FC4B5B" w:rsidP="00340736">
            <w:pPr>
              <w:jc w:val="center"/>
            </w:pPr>
            <w:r>
              <w:t>-50</w:t>
            </w:r>
          </w:p>
        </w:tc>
        <w:tc>
          <w:tcPr>
            <w:tcW w:w="2188" w:type="dxa"/>
          </w:tcPr>
          <w:p w:rsidR="00340736" w:rsidRDefault="00FC4B5B" w:rsidP="00340736">
            <w:pPr>
              <w:jc w:val="center"/>
            </w:pPr>
            <w:r>
              <w:t>-50</w:t>
            </w:r>
          </w:p>
        </w:tc>
      </w:tr>
      <w:tr w:rsidR="00340736" w:rsidTr="00DB744F">
        <w:tc>
          <w:tcPr>
            <w:tcW w:w="2518" w:type="dxa"/>
          </w:tcPr>
          <w:p w:rsidR="00340736" w:rsidRDefault="00340736" w:rsidP="00FD4E34">
            <w:r>
              <w:t>Taxable income</w:t>
            </w:r>
            <w:r w:rsidR="00FC4B5B">
              <w:t xml:space="preserve"> (a)</w:t>
            </w:r>
          </w:p>
        </w:tc>
        <w:tc>
          <w:tcPr>
            <w:tcW w:w="2268" w:type="dxa"/>
          </w:tcPr>
          <w:p w:rsidR="00340736" w:rsidRDefault="00FC4B5B" w:rsidP="00340736">
            <w:pPr>
              <w:jc w:val="center"/>
            </w:pPr>
            <w:r>
              <w:t>150</w:t>
            </w:r>
          </w:p>
        </w:tc>
        <w:tc>
          <w:tcPr>
            <w:tcW w:w="2268" w:type="dxa"/>
          </w:tcPr>
          <w:p w:rsidR="00340736" w:rsidRDefault="00FC4B5B" w:rsidP="00340736">
            <w:pPr>
              <w:jc w:val="center"/>
            </w:pPr>
            <w:r>
              <w:t>150</w:t>
            </w:r>
          </w:p>
        </w:tc>
        <w:tc>
          <w:tcPr>
            <w:tcW w:w="2188" w:type="dxa"/>
          </w:tcPr>
          <w:p w:rsidR="00340736" w:rsidRDefault="00FC4B5B" w:rsidP="00340736">
            <w:pPr>
              <w:jc w:val="center"/>
            </w:pPr>
            <w:r>
              <w:t>150</w:t>
            </w:r>
          </w:p>
        </w:tc>
      </w:tr>
      <w:tr w:rsidR="00340736" w:rsidTr="00DB744F">
        <w:tc>
          <w:tcPr>
            <w:tcW w:w="2518" w:type="dxa"/>
          </w:tcPr>
          <w:p w:rsidR="00340736" w:rsidRDefault="00340736" w:rsidP="00FD4E34">
            <w:r>
              <w:t>Tax</w:t>
            </w:r>
            <w:r w:rsidR="00FC4B5B">
              <w:t xml:space="preserve"> (at 30%)</w:t>
            </w:r>
          </w:p>
        </w:tc>
        <w:tc>
          <w:tcPr>
            <w:tcW w:w="2268" w:type="dxa"/>
          </w:tcPr>
          <w:p w:rsidR="00340736" w:rsidRDefault="00FC4B5B" w:rsidP="00340736">
            <w:pPr>
              <w:jc w:val="center"/>
            </w:pPr>
            <w:r>
              <w:t>-45</w:t>
            </w:r>
          </w:p>
        </w:tc>
        <w:tc>
          <w:tcPr>
            <w:tcW w:w="2268" w:type="dxa"/>
          </w:tcPr>
          <w:p w:rsidR="00340736" w:rsidRDefault="00FC4B5B" w:rsidP="00340736">
            <w:pPr>
              <w:jc w:val="center"/>
            </w:pPr>
            <w:r>
              <w:t>-45</w:t>
            </w:r>
          </w:p>
        </w:tc>
        <w:tc>
          <w:tcPr>
            <w:tcW w:w="2188" w:type="dxa"/>
          </w:tcPr>
          <w:p w:rsidR="00340736" w:rsidRDefault="00FC4B5B" w:rsidP="00340736">
            <w:pPr>
              <w:jc w:val="center"/>
            </w:pPr>
            <w:r>
              <w:t>-45</w:t>
            </w:r>
          </w:p>
        </w:tc>
      </w:tr>
      <w:tr w:rsidR="00340736" w:rsidTr="00DB744F">
        <w:tc>
          <w:tcPr>
            <w:tcW w:w="2518" w:type="dxa"/>
          </w:tcPr>
          <w:p w:rsidR="00340736" w:rsidRDefault="00340736" w:rsidP="00FD4E34">
            <w:r>
              <w:t>Credit</w:t>
            </w:r>
          </w:p>
        </w:tc>
        <w:tc>
          <w:tcPr>
            <w:tcW w:w="2268" w:type="dxa"/>
          </w:tcPr>
          <w:p w:rsidR="00340736" w:rsidRDefault="00FC4B5B" w:rsidP="00340736">
            <w:pPr>
              <w:jc w:val="center"/>
            </w:pPr>
            <w:r>
              <w:t>60</w:t>
            </w:r>
          </w:p>
        </w:tc>
        <w:tc>
          <w:tcPr>
            <w:tcW w:w="2268" w:type="dxa"/>
          </w:tcPr>
          <w:p w:rsidR="00340736" w:rsidRDefault="00FC4B5B" w:rsidP="00340736">
            <w:pPr>
              <w:jc w:val="center"/>
            </w:pPr>
            <w:r>
              <w:t>60</w:t>
            </w:r>
          </w:p>
        </w:tc>
        <w:tc>
          <w:tcPr>
            <w:tcW w:w="2188" w:type="dxa"/>
          </w:tcPr>
          <w:p w:rsidR="00340736" w:rsidRDefault="00FC4B5B" w:rsidP="00340736">
            <w:pPr>
              <w:jc w:val="center"/>
            </w:pPr>
            <w:r>
              <w:t>60</w:t>
            </w:r>
          </w:p>
        </w:tc>
      </w:tr>
      <w:tr w:rsidR="00340736" w:rsidTr="00DB744F">
        <w:tc>
          <w:tcPr>
            <w:tcW w:w="2518" w:type="dxa"/>
          </w:tcPr>
          <w:p w:rsidR="00340736" w:rsidRDefault="00340736" w:rsidP="00FD4E34">
            <w:r>
              <w:t>Refund</w:t>
            </w:r>
            <w:r w:rsidR="00DB744F">
              <w:t xml:space="preserve"> excess credits (b)</w:t>
            </w:r>
          </w:p>
        </w:tc>
        <w:tc>
          <w:tcPr>
            <w:tcW w:w="2268" w:type="dxa"/>
          </w:tcPr>
          <w:p w:rsidR="00340736" w:rsidRDefault="00FC4B5B" w:rsidP="00340736">
            <w:pPr>
              <w:jc w:val="center"/>
            </w:pPr>
            <w:r>
              <w:t>15</w:t>
            </w:r>
          </w:p>
        </w:tc>
        <w:tc>
          <w:tcPr>
            <w:tcW w:w="2268" w:type="dxa"/>
          </w:tcPr>
          <w:p w:rsidR="00340736" w:rsidRDefault="00FC4B5B" w:rsidP="00340736">
            <w:pPr>
              <w:jc w:val="center"/>
            </w:pPr>
            <w:r>
              <w:t>15</w:t>
            </w:r>
          </w:p>
        </w:tc>
        <w:tc>
          <w:tcPr>
            <w:tcW w:w="2188" w:type="dxa"/>
          </w:tcPr>
          <w:p w:rsidR="00340736" w:rsidRDefault="00FC4B5B" w:rsidP="00340736">
            <w:pPr>
              <w:jc w:val="center"/>
            </w:pPr>
            <w:r>
              <w:t>0</w:t>
            </w:r>
          </w:p>
        </w:tc>
      </w:tr>
      <w:tr w:rsidR="00340736" w:rsidTr="00DB744F">
        <w:tc>
          <w:tcPr>
            <w:tcW w:w="2518" w:type="dxa"/>
          </w:tcPr>
          <w:p w:rsidR="00340736" w:rsidRDefault="00340736" w:rsidP="00DB744F">
            <w:r>
              <w:t>Di</w:t>
            </w:r>
            <w:r w:rsidR="00FC4B5B">
              <w:t>stribution (</w:t>
            </w:r>
            <w:r w:rsidR="00DB744F">
              <w:t>c</w:t>
            </w:r>
            <w:r w:rsidR="00FC4B5B">
              <w:t>)</w:t>
            </w:r>
          </w:p>
        </w:tc>
        <w:tc>
          <w:tcPr>
            <w:tcW w:w="2268" w:type="dxa"/>
          </w:tcPr>
          <w:p w:rsidR="00340736" w:rsidRDefault="00FC4B5B" w:rsidP="00340736">
            <w:pPr>
              <w:jc w:val="center"/>
            </w:pPr>
            <w:r>
              <w:t>105</w:t>
            </w:r>
          </w:p>
        </w:tc>
        <w:tc>
          <w:tcPr>
            <w:tcW w:w="2268" w:type="dxa"/>
          </w:tcPr>
          <w:p w:rsidR="00340736" w:rsidRDefault="00FC4B5B" w:rsidP="00340736">
            <w:pPr>
              <w:jc w:val="center"/>
            </w:pPr>
            <w:r>
              <w:t>105</w:t>
            </w:r>
          </w:p>
        </w:tc>
        <w:tc>
          <w:tcPr>
            <w:tcW w:w="2188" w:type="dxa"/>
          </w:tcPr>
          <w:p w:rsidR="00340736" w:rsidRDefault="00FC4B5B" w:rsidP="00340736">
            <w:pPr>
              <w:jc w:val="center"/>
            </w:pPr>
            <w:r>
              <w:t>90</w:t>
            </w:r>
          </w:p>
        </w:tc>
      </w:tr>
      <w:tr w:rsidR="00340736" w:rsidTr="00DB744F">
        <w:tc>
          <w:tcPr>
            <w:tcW w:w="2518" w:type="dxa"/>
            <w:shd w:val="clear" w:color="auto" w:fill="EEECE1" w:themeFill="background2"/>
          </w:tcPr>
          <w:p w:rsidR="00340736" w:rsidRPr="00B948AB" w:rsidRDefault="00340736" w:rsidP="00FD4E34">
            <w:pPr>
              <w:rPr>
                <w:b/>
              </w:rPr>
            </w:pPr>
            <w:r w:rsidRPr="00B948AB">
              <w:rPr>
                <w:b/>
              </w:rPr>
              <w:t>Individual F</w:t>
            </w:r>
          </w:p>
        </w:tc>
        <w:tc>
          <w:tcPr>
            <w:tcW w:w="2268" w:type="dxa"/>
          </w:tcPr>
          <w:p w:rsidR="00340736" w:rsidRDefault="00340736" w:rsidP="00340736">
            <w:pPr>
              <w:jc w:val="center"/>
            </w:pPr>
          </w:p>
        </w:tc>
        <w:tc>
          <w:tcPr>
            <w:tcW w:w="2268" w:type="dxa"/>
          </w:tcPr>
          <w:p w:rsidR="00340736" w:rsidRDefault="00340736" w:rsidP="00340736">
            <w:pPr>
              <w:jc w:val="center"/>
            </w:pPr>
          </w:p>
        </w:tc>
        <w:tc>
          <w:tcPr>
            <w:tcW w:w="2188" w:type="dxa"/>
          </w:tcPr>
          <w:p w:rsidR="00340736" w:rsidRDefault="00340736" w:rsidP="00340736">
            <w:pPr>
              <w:jc w:val="center"/>
            </w:pPr>
          </w:p>
        </w:tc>
      </w:tr>
      <w:tr w:rsidR="00340736" w:rsidTr="00DB744F">
        <w:tc>
          <w:tcPr>
            <w:tcW w:w="2518" w:type="dxa"/>
          </w:tcPr>
          <w:p w:rsidR="00340736" w:rsidRDefault="00340736" w:rsidP="00FC4B5B">
            <w:r>
              <w:t xml:space="preserve">Grossed-up </w:t>
            </w:r>
            <w:r w:rsidR="00FC4B5B">
              <w:t>distribution</w:t>
            </w:r>
          </w:p>
        </w:tc>
        <w:tc>
          <w:tcPr>
            <w:tcW w:w="2268" w:type="dxa"/>
          </w:tcPr>
          <w:p w:rsidR="00340736" w:rsidRDefault="00DB744F" w:rsidP="00340736">
            <w:pPr>
              <w:jc w:val="center"/>
            </w:pPr>
            <w:r>
              <w:t>150 (d)</w:t>
            </w:r>
          </w:p>
        </w:tc>
        <w:tc>
          <w:tcPr>
            <w:tcW w:w="2268" w:type="dxa"/>
          </w:tcPr>
          <w:p w:rsidR="00340736" w:rsidRDefault="00DB744F" w:rsidP="00340736">
            <w:pPr>
              <w:jc w:val="center"/>
            </w:pPr>
            <w:r>
              <w:t>150 (d)</w:t>
            </w:r>
          </w:p>
        </w:tc>
        <w:tc>
          <w:tcPr>
            <w:tcW w:w="2188" w:type="dxa"/>
          </w:tcPr>
          <w:p w:rsidR="00340736" w:rsidRDefault="00DB744F" w:rsidP="00340736">
            <w:pPr>
              <w:jc w:val="center"/>
            </w:pPr>
            <w:r>
              <w:t>135 (e)</w:t>
            </w:r>
          </w:p>
        </w:tc>
      </w:tr>
      <w:tr w:rsidR="00340736" w:rsidTr="00DB744F">
        <w:tc>
          <w:tcPr>
            <w:tcW w:w="2518" w:type="dxa"/>
          </w:tcPr>
          <w:p w:rsidR="00340736" w:rsidRDefault="00340736" w:rsidP="00FD4E34">
            <w:r>
              <w:t>Personal tax (at 15%)</w:t>
            </w:r>
          </w:p>
        </w:tc>
        <w:tc>
          <w:tcPr>
            <w:tcW w:w="2268" w:type="dxa"/>
          </w:tcPr>
          <w:p w:rsidR="00340736" w:rsidRDefault="00672D16" w:rsidP="00340736">
            <w:pPr>
              <w:jc w:val="center"/>
            </w:pPr>
            <w:r>
              <w:t>22.5</w:t>
            </w:r>
          </w:p>
        </w:tc>
        <w:tc>
          <w:tcPr>
            <w:tcW w:w="2268" w:type="dxa"/>
          </w:tcPr>
          <w:p w:rsidR="00340736" w:rsidRDefault="00672D16" w:rsidP="00672D16">
            <w:pPr>
              <w:jc w:val="center"/>
            </w:pPr>
            <w:r>
              <w:t>22.5</w:t>
            </w:r>
          </w:p>
        </w:tc>
        <w:tc>
          <w:tcPr>
            <w:tcW w:w="2188" w:type="dxa"/>
          </w:tcPr>
          <w:p w:rsidR="00340736" w:rsidRDefault="00672D16" w:rsidP="00340736">
            <w:pPr>
              <w:jc w:val="center"/>
            </w:pPr>
            <w:r>
              <w:t>20.25</w:t>
            </w:r>
          </w:p>
        </w:tc>
      </w:tr>
      <w:tr w:rsidR="00340736" w:rsidTr="00DB744F">
        <w:tc>
          <w:tcPr>
            <w:tcW w:w="2518" w:type="dxa"/>
          </w:tcPr>
          <w:p w:rsidR="00340736" w:rsidRDefault="00340736" w:rsidP="00FD4E34">
            <w:r>
              <w:t>Credit</w:t>
            </w:r>
            <w:r w:rsidR="0036670E">
              <w:t xml:space="preserve"> (f)</w:t>
            </w:r>
          </w:p>
        </w:tc>
        <w:tc>
          <w:tcPr>
            <w:tcW w:w="2268" w:type="dxa"/>
          </w:tcPr>
          <w:p w:rsidR="00340736" w:rsidRDefault="00672D16" w:rsidP="00340736">
            <w:pPr>
              <w:jc w:val="center"/>
            </w:pPr>
            <w:r>
              <w:t>45</w:t>
            </w:r>
          </w:p>
        </w:tc>
        <w:tc>
          <w:tcPr>
            <w:tcW w:w="2268" w:type="dxa"/>
          </w:tcPr>
          <w:p w:rsidR="00340736" w:rsidRDefault="00672D16" w:rsidP="00340736">
            <w:pPr>
              <w:jc w:val="center"/>
            </w:pPr>
            <w:r>
              <w:t>45</w:t>
            </w:r>
          </w:p>
        </w:tc>
        <w:tc>
          <w:tcPr>
            <w:tcW w:w="2188" w:type="dxa"/>
          </w:tcPr>
          <w:p w:rsidR="00340736" w:rsidRDefault="00672D16" w:rsidP="00340736">
            <w:pPr>
              <w:jc w:val="center"/>
            </w:pPr>
            <w:r>
              <w:t>45</w:t>
            </w:r>
          </w:p>
        </w:tc>
      </w:tr>
      <w:tr w:rsidR="00340736" w:rsidTr="00DB744F">
        <w:tc>
          <w:tcPr>
            <w:tcW w:w="2518" w:type="dxa"/>
          </w:tcPr>
          <w:p w:rsidR="00340736" w:rsidRDefault="00340736" w:rsidP="00FD4E34">
            <w:r>
              <w:t>Refund</w:t>
            </w:r>
            <w:r w:rsidR="00DB744F">
              <w:t xml:space="preserve"> excess credits</w:t>
            </w:r>
          </w:p>
        </w:tc>
        <w:tc>
          <w:tcPr>
            <w:tcW w:w="2268" w:type="dxa"/>
          </w:tcPr>
          <w:p w:rsidR="00340736" w:rsidRDefault="00672D16" w:rsidP="00340736">
            <w:pPr>
              <w:jc w:val="center"/>
            </w:pPr>
            <w:r>
              <w:t>22.5</w:t>
            </w:r>
          </w:p>
        </w:tc>
        <w:tc>
          <w:tcPr>
            <w:tcW w:w="2268" w:type="dxa"/>
          </w:tcPr>
          <w:p w:rsidR="00340736" w:rsidRDefault="00672D16" w:rsidP="00340736">
            <w:pPr>
              <w:jc w:val="center"/>
            </w:pPr>
            <w:r>
              <w:t>0</w:t>
            </w:r>
          </w:p>
        </w:tc>
        <w:tc>
          <w:tcPr>
            <w:tcW w:w="2188" w:type="dxa"/>
          </w:tcPr>
          <w:p w:rsidR="00340736" w:rsidRDefault="003D3703" w:rsidP="00340736">
            <w:pPr>
              <w:jc w:val="center"/>
            </w:pPr>
            <w:r>
              <w:t>0</w:t>
            </w:r>
          </w:p>
        </w:tc>
      </w:tr>
      <w:tr w:rsidR="00340736" w:rsidTr="00DB744F">
        <w:tc>
          <w:tcPr>
            <w:tcW w:w="2518" w:type="dxa"/>
          </w:tcPr>
          <w:p w:rsidR="00340736" w:rsidRDefault="00340736" w:rsidP="0036670E">
            <w:r>
              <w:t>After-tax income</w:t>
            </w:r>
            <w:r w:rsidR="003D3703">
              <w:t xml:space="preserve"> (</w:t>
            </w:r>
            <w:r w:rsidR="0036670E">
              <w:t>g</w:t>
            </w:r>
            <w:r w:rsidR="003D3703">
              <w:t>)</w:t>
            </w:r>
          </w:p>
        </w:tc>
        <w:tc>
          <w:tcPr>
            <w:tcW w:w="2268" w:type="dxa"/>
          </w:tcPr>
          <w:p w:rsidR="00340736" w:rsidRDefault="003D3703" w:rsidP="00340736">
            <w:pPr>
              <w:jc w:val="center"/>
            </w:pPr>
            <w:r>
              <w:t>127.5</w:t>
            </w:r>
          </w:p>
        </w:tc>
        <w:tc>
          <w:tcPr>
            <w:tcW w:w="2268" w:type="dxa"/>
          </w:tcPr>
          <w:p w:rsidR="00340736" w:rsidRDefault="003D3703" w:rsidP="00340736">
            <w:pPr>
              <w:jc w:val="center"/>
            </w:pPr>
            <w:r>
              <w:t>105</w:t>
            </w:r>
          </w:p>
        </w:tc>
        <w:tc>
          <w:tcPr>
            <w:tcW w:w="2188" w:type="dxa"/>
          </w:tcPr>
          <w:p w:rsidR="00340736" w:rsidRDefault="003D3703" w:rsidP="00340736">
            <w:pPr>
              <w:jc w:val="center"/>
            </w:pPr>
            <w:r>
              <w:t>90</w:t>
            </w:r>
          </w:p>
        </w:tc>
      </w:tr>
      <w:tr w:rsidR="00340736" w:rsidTr="00DB744F">
        <w:tc>
          <w:tcPr>
            <w:tcW w:w="2518" w:type="dxa"/>
            <w:shd w:val="clear" w:color="auto" w:fill="EEECE1" w:themeFill="background2"/>
          </w:tcPr>
          <w:p w:rsidR="00340736" w:rsidRDefault="00340736" w:rsidP="0036670E">
            <w:r>
              <w:t>Total tax</w:t>
            </w:r>
            <w:r w:rsidR="003D3703">
              <w:t xml:space="preserve"> (</w:t>
            </w:r>
            <w:r w:rsidR="0036670E">
              <w:t>h</w:t>
            </w:r>
            <w:r w:rsidR="003D3703">
              <w:t>)</w:t>
            </w:r>
          </w:p>
        </w:tc>
        <w:tc>
          <w:tcPr>
            <w:tcW w:w="2268" w:type="dxa"/>
            <w:shd w:val="clear" w:color="auto" w:fill="EEECE1" w:themeFill="background2"/>
          </w:tcPr>
          <w:p w:rsidR="00340736" w:rsidRDefault="003D3703" w:rsidP="00340736">
            <w:pPr>
              <w:jc w:val="center"/>
            </w:pPr>
            <w:r>
              <w:t>22.5</w:t>
            </w:r>
          </w:p>
        </w:tc>
        <w:tc>
          <w:tcPr>
            <w:tcW w:w="2268" w:type="dxa"/>
            <w:shd w:val="clear" w:color="auto" w:fill="EEECE1" w:themeFill="background2"/>
          </w:tcPr>
          <w:p w:rsidR="00340736" w:rsidRDefault="003D3703" w:rsidP="00340736">
            <w:pPr>
              <w:jc w:val="center"/>
            </w:pPr>
            <w:r>
              <w:t>45</w:t>
            </w:r>
          </w:p>
        </w:tc>
        <w:tc>
          <w:tcPr>
            <w:tcW w:w="2188" w:type="dxa"/>
            <w:shd w:val="clear" w:color="auto" w:fill="EEECE1" w:themeFill="background2"/>
          </w:tcPr>
          <w:p w:rsidR="00340736" w:rsidRDefault="003D3703" w:rsidP="00340736">
            <w:pPr>
              <w:jc w:val="center"/>
            </w:pPr>
            <w:r>
              <w:t>60</w:t>
            </w:r>
          </w:p>
        </w:tc>
      </w:tr>
      <w:tr w:rsidR="00340736" w:rsidTr="00DB744F">
        <w:tc>
          <w:tcPr>
            <w:tcW w:w="2518" w:type="dxa"/>
            <w:shd w:val="clear" w:color="auto" w:fill="EEECE1" w:themeFill="background2"/>
          </w:tcPr>
          <w:p w:rsidR="00340736" w:rsidRDefault="00340736" w:rsidP="0036670E">
            <w:r>
              <w:t>Pre-tax income</w:t>
            </w:r>
            <w:r w:rsidR="003D3703">
              <w:t xml:space="preserve"> (</w:t>
            </w:r>
            <w:r w:rsidR="0036670E">
              <w:t>i</w:t>
            </w:r>
            <w:r w:rsidR="003D3703">
              <w:t>)</w:t>
            </w:r>
          </w:p>
        </w:tc>
        <w:tc>
          <w:tcPr>
            <w:tcW w:w="2268" w:type="dxa"/>
            <w:shd w:val="clear" w:color="auto" w:fill="EEECE1" w:themeFill="background2"/>
          </w:tcPr>
          <w:p w:rsidR="00340736" w:rsidRDefault="003D3703" w:rsidP="00340736">
            <w:pPr>
              <w:jc w:val="center"/>
            </w:pPr>
            <w:r>
              <w:t>150</w:t>
            </w:r>
          </w:p>
        </w:tc>
        <w:tc>
          <w:tcPr>
            <w:tcW w:w="2268" w:type="dxa"/>
            <w:shd w:val="clear" w:color="auto" w:fill="EEECE1" w:themeFill="background2"/>
          </w:tcPr>
          <w:p w:rsidR="00340736" w:rsidRDefault="003D3703" w:rsidP="00340736">
            <w:pPr>
              <w:jc w:val="center"/>
            </w:pPr>
            <w:r>
              <w:t>150</w:t>
            </w:r>
          </w:p>
        </w:tc>
        <w:tc>
          <w:tcPr>
            <w:tcW w:w="2188" w:type="dxa"/>
            <w:shd w:val="clear" w:color="auto" w:fill="EEECE1" w:themeFill="background2"/>
          </w:tcPr>
          <w:p w:rsidR="00340736" w:rsidRDefault="003D3703" w:rsidP="003D3703">
            <w:pPr>
              <w:jc w:val="center"/>
            </w:pPr>
            <w:r>
              <w:t>150</w:t>
            </w:r>
          </w:p>
        </w:tc>
      </w:tr>
      <w:tr w:rsidR="00340736" w:rsidTr="00DB744F">
        <w:tc>
          <w:tcPr>
            <w:tcW w:w="2518" w:type="dxa"/>
            <w:shd w:val="clear" w:color="auto" w:fill="EEECE1" w:themeFill="background2"/>
          </w:tcPr>
          <w:p w:rsidR="00340736" w:rsidRDefault="00340736" w:rsidP="0036670E">
            <w:r>
              <w:t>Percentage tax</w:t>
            </w:r>
            <w:r w:rsidR="003D3703">
              <w:t xml:space="preserve"> (</w:t>
            </w:r>
            <w:r w:rsidR="0036670E">
              <w:t>j</w:t>
            </w:r>
            <w:r w:rsidR="003D3703">
              <w:t>)</w:t>
            </w:r>
          </w:p>
        </w:tc>
        <w:tc>
          <w:tcPr>
            <w:tcW w:w="2268" w:type="dxa"/>
            <w:shd w:val="clear" w:color="auto" w:fill="EEECE1" w:themeFill="background2"/>
          </w:tcPr>
          <w:p w:rsidR="00340736" w:rsidRDefault="003932E9" w:rsidP="00340736">
            <w:pPr>
              <w:jc w:val="center"/>
            </w:pPr>
            <w:r>
              <w:t>15%</w:t>
            </w:r>
          </w:p>
        </w:tc>
        <w:tc>
          <w:tcPr>
            <w:tcW w:w="2268" w:type="dxa"/>
            <w:shd w:val="clear" w:color="auto" w:fill="EEECE1" w:themeFill="background2"/>
          </w:tcPr>
          <w:p w:rsidR="00340736" w:rsidRDefault="003932E9" w:rsidP="00340736">
            <w:pPr>
              <w:jc w:val="center"/>
            </w:pPr>
            <w:r>
              <w:t>30%</w:t>
            </w:r>
          </w:p>
        </w:tc>
        <w:tc>
          <w:tcPr>
            <w:tcW w:w="2188" w:type="dxa"/>
            <w:shd w:val="clear" w:color="auto" w:fill="EEECE1" w:themeFill="background2"/>
          </w:tcPr>
          <w:p w:rsidR="00340736" w:rsidRDefault="003932E9" w:rsidP="00340736">
            <w:pPr>
              <w:jc w:val="center"/>
            </w:pPr>
            <w:r>
              <w:t>40%</w:t>
            </w:r>
          </w:p>
        </w:tc>
      </w:tr>
    </w:tbl>
    <w:p w:rsidR="00340736" w:rsidRDefault="00FC4B5B" w:rsidP="00340736">
      <w:pPr>
        <w:numPr>
          <w:ilvl w:val="0"/>
          <w:numId w:val="6"/>
        </w:numPr>
        <w:spacing w:after="0"/>
        <w:ind w:left="714" w:hanging="357"/>
      </w:pPr>
      <w:r>
        <w:t xml:space="preserve">Distribution </w:t>
      </w:r>
      <w:r w:rsidR="00066CF2">
        <w:t xml:space="preserve">received </w:t>
      </w:r>
      <w:r>
        <w:t>plus credits less expenses</w:t>
      </w:r>
      <w:r w:rsidR="00340736">
        <w:t>.</w:t>
      </w:r>
    </w:p>
    <w:p w:rsidR="00340736" w:rsidRDefault="00066CF2" w:rsidP="00340736">
      <w:pPr>
        <w:numPr>
          <w:ilvl w:val="0"/>
          <w:numId w:val="6"/>
        </w:numPr>
        <w:spacing w:after="0"/>
        <w:ind w:left="714" w:hanging="357"/>
      </w:pPr>
      <w:r>
        <w:t xml:space="preserve">If allowed – </w:t>
      </w:r>
      <w:r w:rsidR="00FF5892">
        <w:t xml:space="preserve">that is, in </w:t>
      </w:r>
      <w:r>
        <w:t xml:space="preserve">Columns (2) and (3) – credits </w:t>
      </w:r>
      <w:r w:rsidR="00DB744F">
        <w:t>less tax</w:t>
      </w:r>
      <w:r w:rsidR="00340736">
        <w:t>.</w:t>
      </w:r>
    </w:p>
    <w:p w:rsidR="00340736" w:rsidRDefault="00DB744F" w:rsidP="00340736">
      <w:pPr>
        <w:numPr>
          <w:ilvl w:val="0"/>
          <w:numId w:val="6"/>
        </w:numPr>
        <w:spacing w:after="0"/>
        <w:ind w:left="714" w:hanging="357"/>
      </w:pPr>
      <w:r>
        <w:t xml:space="preserve">Distribution received less </w:t>
      </w:r>
      <w:r w:rsidR="0036670E">
        <w:t>expenses</w:t>
      </w:r>
      <w:r>
        <w:t xml:space="preserve"> plus </w:t>
      </w:r>
      <w:r w:rsidR="00066CF2">
        <w:t xml:space="preserve">any </w:t>
      </w:r>
      <w:r>
        <w:t>refund</w:t>
      </w:r>
      <w:r w:rsidR="00066CF2">
        <w:t xml:space="preserve"> of excess credits</w:t>
      </w:r>
      <w:r w:rsidR="0036670E">
        <w:t xml:space="preserve"> (no tax payable)</w:t>
      </w:r>
      <w:r w:rsidR="00340736">
        <w:t>.</w:t>
      </w:r>
    </w:p>
    <w:p w:rsidR="00340736" w:rsidRDefault="00DB744F" w:rsidP="00340736">
      <w:pPr>
        <w:numPr>
          <w:ilvl w:val="0"/>
          <w:numId w:val="6"/>
        </w:numPr>
        <w:spacing w:after="0"/>
        <w:ind w:left="714" w:hanging="357"/>
      </w:pPr>
      <w:r>
        <w:t>Distribution received</w:t>
      </w:r>
      <w:r w:rsidR="00672D16">
        <w:t xml:space="preserve"> plus gross credits less refund of the excess of those credits</w:t>
      </w:r>
      <w:r w:rsidR="00340736">
        <w:t>.</w:t>
      </w:r>
    </w:p>
    <w:p w:rsidR="00340736" w:rsidRDefault="00672D16" w:rsidP="00340736">
      <w:pPr>
        <w:numPr>
          <w:ilvl w:val="0"/>
          <w:numId w:val="6"/>
        </w:numPr>
        <w:spacing w:after="0"/>
        <w:ind w:left="714" w:hanging="357"/>
      </w:pPr>
      <w:r>
        <w:lastRenderedPageBreak/>
        <w:t>Distribution received plus sufficient credits to offset tax payable (with excess credits carried forward)</w:t>
      </w:r>
      <w:r w:rsidR="00340736">
        <w:t>.</w:t>
      </w:r>
    </w:p>
    <w:p w:rsidR="0036670E" w:rsidRDefault="0036670E" w:rsidP="00340736">
      <w:pPr>
        <w:numPr>
          <w:ilvl w:val="0"/>
          <w:numId w:val="6"/>
        </w:numPr>
        <w:spacing w:after="0"/>
        <w:ind w:left="714" w:hanging="357"/>
      </w:pPr>
      <w:r>
        <w:t>Tax liability of Trust E before any refund of excess credits.</w:t>
      </w:r>
    </w:p>
    <w:p w:rsidR="003D3703" w:rsidRDefault="003D3703" w:rsidP="00340736">
      <w:pPr>
        <w:numPr>
          <w:ilvl w:val="0"/>
          <w:numId w:val="6"/>
        </w:numPr>
        <w:spacing w:after="0"/>
        <w:ind w:left="714" w:hanging="357"/>
      </w:pPr>
      <w:r>
        <w:t xml:space="preserve">Distribution received plus </w:t>
      </w:r>
      <w:r w:rsidR="00066CF2">
        <w:t xml:space="preserve">any </w:t>
      </w:r>
      <w:r>
        <w:t>refund of excess credits.</w:t>
      </w:r>
    </w:p>
    <w:p w:rsidR="003D3703" w:rsidRDefault="003D3703" w:rsidP="00340736">
      <w:pPr>
        <w:numPr>
          <w:ilvl w:val="0"/>
          <w:numId w:val="6"/>
        </w:numPr>
        <w:spacing w:after="0"/>
        <w:ind w:left="714" w:hanging="357"/>
      </w:pPr>
      <w:r>
        <w:t xml:space="preserve">Tax from </w:t>
      </w:r>
      <w:r w:rsidR="003932E9">
        <w:t xml:space="preserve">Trust D/Company C less </w:t>
      </w:r>
      <w:r w:rsidR="00066CF2">
        <w:t xml:space="preserve">any </w:t>
      </w:r>
      <w:r w:rsidR="003932E9">
        <w:t xml:space="preserve">refunds </w:t>
      </w:r>
      <w:r>
        <w:t>of excess credits for Trust E and Individual F.</w:t>
      </w:r>
    </w:p>
    <w:p w:rsidR="003D3703" w:rsidRDefault="003D3703" w:rsidP="00340736">
      <w:pPr>
        <w:numPr>
          <w:ilvl w:val="0"/>
          <w:numId w:val="6"/>
        </w:numPr>
        <w:spacing w:after="0"/>
        <w:ind w:left="714" w:hanging="357"/>
      </w:pPr>
      <w:r>
        <w:t xml:space="preserve">Income of Trust D/Company C less expenses </w:t>
      </w:r>
      <w:r w:rsidR="003932E9">
        <w:t>of Trust E.</w:t>
      </w:r>
      <w:r>
        <w:t xml:space="preserve"> </w:t>
      </w:r>
    </w:p>
    <w:p w:rsidR="003932E9" w:rsidRDefault="003932E9" w:rsidP="00340736">
      <w:pPr>
        <w:numPr>
          <w:ilvl w:val="0"/>
          <w:numId w:val="6"/>
        </w:numPr>
        <w:spacing w:after="0"/>
        <w:ind w:left="714" w:hanging="357"/>
      </w:pPr>
      <w:r>
        <w:t>Total tax as a percentage of overall pre-tax income.</w:t>
      </w:r>
    </w:p>
    <w:p w:rsidR="00FF5892" w:rsidRDefault="00FF5892" w:rsidP="00FD4E34"/>
    <w:p w:rsidR="00F50555" w:rsidRDefault="00380272" w:rsidP="00FD4E34">
      <w:r>
        <w:t xml:space="preserve">And, Column (2), which has Individual F continuing to attract refunds of excess credits, shows how </w:t>
      </w:r>
      <w:r w:rsidR="00F50555">
        <w:t xml:space="preserve">Option 1 has </w:t>
      </w:r>
      <w:r>
        <w:t>that individual pay</w:t>
      </w:r>
      <w:r w:rsidR="00F50555">
        <w:t>ing</w:t>
      </w:r>
      <w:r>
        <w:t xml:space="preserve"> tax at the individual’s 15 per cent personal tax rate</w:t>
      </w:r>
      <w:r w:rsidR="00966D9E">
        <w:t xml:space="preserve"> (consistent with investment-neutral design, income splitting aside)</w:t>
      </w:r>
      <w:r>
        <w:t>. Column (3) shows how</w:t>
      </w:r>
      <w:r w:rsidR="00B02BB7">
        <w:t xml:space="preserve"> </w:t>
      </w:r>
      <w:r>
        <w:t>the proposed</w:t>
      </w:r>
      <w:r w:rsidR="00B02BB7">
        <w:t xml:space="preserve"> 30 per cent minimum tax rate is </w:t>
      </w:r>
      <w:r w:rsidR="00F50555">
        <w:t xml:space="preserve">neatly </w:t>
      </w:r>
      <w:r>
        <w:t>achieved</w:t>
      </w:r>
      <w:r w:rsidR="00B02BB7">
        <w:t xml:space="preserve"> when the </w:t>
      </w:r>
      <w:r w:rsidR="00B02BB7" w:rsidRPr="00380272">
        <w:t xml:space="preserve">current-year </w:t>
      </w:r>
      <w:r w:rsidR="00B02BB7">
        <w:t xml:space="preserve">income is distributed to individual </w:t>
      </w:r>
      <w:r w:rsidR="00F50555">
        <w:t>beneficiaries</w:t>
      </w:r>
      <w:r w:rsidR="00B02BB7">
        <w:t xml:space="preserve"> </w:t>
      </w:r>
      <w:r w:rsidR="00F50555">
        <w:t xml:space="preserve">and </w:t>
      </w:r>
      <w:r>
        <w:t>when</w:t>
      </w:r>
      <w:r w:rsidR="00B02BB7">
        <w:t xml:space="preserve"> refunds of franking credits</w:t>
      </w:r>
      <w:r w:rsidR="00F50555">
        <w:t xml:space="preserve"> are denied at the individual level</w:t>
      </w:r>
      <w:r w:rsidR="00B02BB7">
        <w:t xml:space="preserve">. </w:t>
      </w:r>
    </w:p>
    <w:p w:rsidR="00286904" w:rsidRDefault="00286904" w:rsidP="00FD4E34">
      <w:r>
        <w:t xml:space="preserve">In contrast, </w:t>
      </w:r>
      <w:r w:rsidR="00F50555">
        <w:t xml:space="preserve">Column (4) illustrates what happens if, as under Option 2, excess tax credits are not allowed immediately at the discretionary trust level and have to be carried forward. In the current year of income shown in the column, </w:t>
      </w:r>
      <w:r>
        <w:t>Individual F would face a tax rate of 40 per cent, rather than the specified 30 per cent minimum tax rate.</w:t>
      </w:r>
    </w:p>
    <w:p w:rsidR="00FF01B2" w:rsidRDefault="00286904" w:rsidP="00FD4E34">
      <w:r>
        <w:t>In addition,</w:t>
      </w:r>
      <w:r w:rsidR="007A4592">
        <w:t xml:space="preserve"> </w:t>
      </w:r>
      <w:r>
        <w:t xml:space="preserve">Option 1 also avoids the complexity of Option 2 and, as noted by the consultation paper, preserves the “refundable character” of franking credits. </w:t>
      </w:r>
      <w:r w:rsidR="00F50555">
        <w:t xml:space="preserve">  </w:t>
      </w:r>
      <w:r w:rsidR="007532E7">
        <w:t xml:space="preserve">  </w:t>
      </w:r>
      <w:r w:rsidR="00FF01B2">
        <w:t xml:space="preserve">  </w:t>
      </w:r>
    </w:p>
    <w:p w:rsidR="00ED034A" w:rsidRDefault="002A6F95" w:rsidP="00694AEC">
      <w:r>
        <w:t>Nevertheless, in practice, immediate refund</w:t>
      </w:r>
      <w:r w:rsidR="006D472C">
        <w:t>ing</w:t>
      </w:r>
      <w:r>
        <w:t xml:space="preserve"> of excess franking credits </w:t>
      </w:r>
      <w:r w:rsidR="006D472C">
        <w:t xml:space="preserve">down the discretionary trust chain may </w:t>
      </w:r>
      <w:r>
        <w:t xml:space="preserve">need to be </w:t>
      </w:r>
      <w:r w:rsidR="00B02BB7">
        <w:t>assessed</w:t>
      </w:r>
      <w:r w:rsidR="006D472C">
        <w:t>, particularly regarding integrity issues,</w:t>
      </w:r>
      <w:r>
        <w:t xml:space="preserve"> alongside the limited availability of </w:t>
      </w:r>
      <w:r w:rsidR="000330D6">
        <w:t xml:space="preserve">such </w:t>
      </w:r>
      <w:r>
        <w:t xml:space="preserve">refunds for trusts generally and the </w:t>
      </w:r>
      <w:r w:rsidR="00B36CDE">
        <w:t>conversion to losses replacing</w:t>
      </w:r>
      <w:r>
        <w:t xml:space="preserve"> </w:t>
      </w:r>
      <w:r w:rsidR="000330D6">
        <w:t xml:space="preserve">such </w:t>
      </w:r>
      <w:r>
        <w:t>refunds down the company chain.</w:t>
      </w:r>
    </w:p>
    <w:p w:rsidR="00FF5892" w:rsidRDefault="00FF5892" w:rsidP="00694AEC">
      <w:r>
        <w:t>Incidentally, the cameo in the consultation paper comparing the two options shows how Trust E’s $90,000 of distributable income aligns with taxable income adjusted as suggested in Section 2, in this case, for minimum tax and franking credits.</w:t>
      </w:r>
    </w:p>
    <w:p w:rsidR="0037442D" w:rsidRPr="00FA5C9D" w:rsidRDefault="006D1EDE" w:rsidP="00694AEC">
      <w:pPr>
        <w:rPr>
          <w:b/>
        </w:rPr>
      </w:pPr>
      <w:r>
        <w:rPr>
          <w:b/>
        </w:rPr>
        <w:t xml:space="preserve">5. </w:t>
      </w:r>
      <w:r w:rsidR="0037442D" w:rsidRPr="00FA5C9D">
        <w:rPr>
          <w:b/>
        </w:rPr>
        <w:t>HIGH C</w:t>
      </w:r>
      <w:r w:rsidR="00B978B9" w:rsidRPr="00FA5C9D">
        <w:rPr>
          <w:b/>
        </w:rPr>
        <w:t>OURT</w:t>
      </w:r>
      <w:r w:rsidR="0037442D" w:rsidRPr="00FA5C9D">
        <w:rPr>
          <w:b/>
        </w:rPr>
        <w:t xml:space="preserve"> </w:t>
      </w:r>
      <w:r w:rsidR="00B978B9" w:rsidRPr="00FA5C9D">
        <w:rPr>
          <w:b/>
        </w:rPr>
        <w:t>DECISION IN THE</w:t>
      </w:r>
      <w:r w:rsidR="0037442D" w:rsidRPr="00FA5C9D">
        <w:rPr>
          <w:b/>
        </w:rPr>
        <w:t xml:space="preserve"> </w:t>
      </w:r>
      <w:proofErr w:type="spellStart"/>
      <w:r w:rsidR="0037442D" w:rsidRPr="00FA5C9D">
        <w:rPr>
          <w:b/>
          <w:i/>
        </w:rPr>
        <w:t>Bendel</w:t>
      </w:r>
      <w:proofErr w:type="spellEnd"/>
      <w:r w:rsidR="0037442D" w:rsidRPr="00FA5C9D">
        <w:rPr>
          <w:b/>
        </w:rPr>
        <w:t xml:space="preserve"> </w:t>
      </w:r>
      <w:r w:rsidR="00B978B9" w:rsidRPr="00FA5C9D">
        <w:rPr>
          <w:b/>
        </w:rPr>
        <w:t>CASE</w:t>
      </w:r>
    </w:p>
    <w:p w:rsidR="00D13B0C" w:rsidRDefault="00D13B0C" w:rsidP="00694AEC">
      <w:r>
        <w:t>It can be argued on economic grounds</w:t>
      </w:r>
      <w:r w:rsidR="00C33E38">
        <w:rPr>
          <w:rStyle w:val="FootnoteReference"/>
        </w:rPr>
        <w:footnoteReference w:id="12"/>
      </w:r>
      <w:r>
        <w:t xml:space="preserve"> that the High Court </w:t>
      </w:r>
      <w:r w:rsidR="006C2D20">
        <w:t xml:space="preserve">made a sound </w:t>
      </w:r>
      <w:r>
        <w:t xml:space="preserve">decision on 10 June 2026 </w:t>
      </w:r>
      <w:r w:rsidR="006C2D20">
        <w:t xml:space="preserve">when it </w:t>
      </w:r>
      <w:r>
        <w:t>ruled that a corporate beneficiary’s unpaid present entitlement (UPE) to income from a discretionary trust is not a loan for Division 7A purposes. That line of argument suggests that the related ATO administrative position and 2018-19 Budget measure should be reconsidered.</w:t>
      </w:r>
    </w:p>
    <w:p w:rsidR="00C33E38" w:rsidRDefault="00C33E38" w:rsidP="00694AEC">
      <w:r>
        <w:t xml:space="preserve">Arguments in support of the High Court decision </w:t>
      </w:r>
      <w:r w:rsidR="002238B9">
        <w:t xml:space="preserve">and related response </w:t>
      </w:r>
      <w:r>
        <w:t>include:</w:t>
      </w:r>
    </w:p>
    <w:p w:rsidR="00C33E38" w:rsidRDefault="006C2D20" w:rsidP="002238B9">
      <w:pPr>
        <w:pStyle w:val="ListParagraph"/>
        <w:numPr>
          <w:ilvl w:val="0"/>
          <w:numId w:val="4"/>
        </w:numPr>
      </w:pPr>
      <w:r>
        <w:t>t</w:t>
      </w:r>
      <w:r w:rsidR="00C33E38">
        <w:t>he trust is not a shareholder of the corporate beneficiary</w:t>
      </w:r>
      <w:r>
        <w:t>;</w:t>
      </w:r>
    </w:p>
    <w:p w:rsidR="006C2D20" w:rsidRDefault="006C2D20" w:rsidP="002238B9">
      <w:pPr>
        <w:pStyle w:val="ListParagraph"/>
        <w:numPr>
          <w:ilvl w:val="0"/>
          <w:numId w:val="4"/>
        </w:numPr>
      </w:pPr>
      <w:r>
        <w:t>the company paying tax on the UPE</w:t>
      </w:r>
      <w:r w:rsidR="003F07BA">
        <w:t>,</w:t>
      </w:r>
      <w:r>
        <w:t xml:space="preserve"> as well as the trust facing Division 7A dividend deeming</w:t>
      </w:r>
      <w:r w:rsidR="003F07BA">
        <w:t>,</w:t>
      </w:r>
      <w:r>
        <w:t xml:space="preserve"> amounts to prohibitive double taxation;</w:t>
      </w:r>
    </w:p>
    <w:p w:rsidR="00F61505" w:rsidRDefault="006C2D20" w:rsidP="002238B9">
      <w:pPr>
        <w:pStyle w:val="ListParagraph"/>
        <w:numPr>
          <w:ilvl w:val="0"/>
          <w:numId w:val="4"/>
        </w:numPr>
      </w:pPr>
      <w:r>
        <w:lastRenderedPageBreak/>
        <w:t>t</w:t>
      </w:r>
      <w:r w:rsidR="00F61505">
        <w:t>he UP</w:t>
      </w:r>
      <w:r>
        <w:t>E</w:t>
      </w:r>
      <w:r w:rsidR="00F61505">
        <w:t xml:space="preserve"> is equivalent to </w:t>
      </w:r>
      <w:r>
        <w:t>a</w:t>
      </w:r>
      <w:r w:rsidR="00F61505">
        <w:t xml:space="preserve"> distribution reinvestment arrangement, with </w:t>
      </w:r>
      <w:r>
        <w:t>the company’s post-tax entitlement</w:t>
      </w:r>
      <w:r w:rsidR="00F61505">
        <w:t xml:space="preserve"> being settled on the trust becoming capital of a new sub-trust to the exclusive benefit of the company</w:t>
      </w:r>
      <w:r>
        <w:t>;</w:t>
      </w:r>
    </w:p>
    <w:p w:rsidR="00F61505" w:rsidRDefault="002238B9" w:rsidP="002238B9">
      <w:pPr>
        <w:pStyle w:val="ListParagraph"/>
        <w:numPr>
          <w:ilvl w:val="0"/>
          <w:numId w:val="4"/>
        </w:numPr>
      </w:pPr>
      <w:r>
        <w:t>i</w:t>
      </w:r>
      <w:r w:rsidR="00C33E38">
        <w:t>f the entitlement were paid in cash, only the corporate rate would be paid on the income with current imputation design allowing distribution of that income when desired</w:t>
      </w:r>
      <w:r w:rsidR="006C2D20">
        <w:t>, often for purposes of tax advantage</w:t>
      </w:r>
      <w:r>
        <w:t>; and</w:t>
      </w:r>
    </w:p>
    <w:p w:rsidR="00F61505" w:rsidRDefault="002238B9" w:rsidP="002238B9">
      <w:pPr>
        <w:pStyle w:val="ListParagraph"/>
        <w:numPr>
          <w:ilvl w:val="0"/>
          <w:numId w:val="4"/>
        </w:numPr>
      </w:pPr>
      <w:proofErr w:type="gramStart"/>
      <w:r>
        <w:t>t</w:t>
      </w:r>
      <w:r w:rsidR="00F61505">
        <w:t>he</w:t>
      </w:r>
      <w:proofErr w:type="gramEnd"/>
      <w:r w:rsidR="00F61505">
        <w:t xml:space="preserve"> best way to address </w:t>
      </w:r>
      <w:r w:rsidR="00B3565F">
        <w:t>such</w:t>
      </w:r>
      <w:r w:rsidR="00F61505">
        <w:t xml:space="preserve"> dividend lags allowed under imputation is to implement the integration-style design </w:t>
      </w:r>
      <w:r w:rsidR="003F07BA">
        <w:t xml:space="preserve">dedicated to corporate beneficiaries </w:t>
      </w:r>
      <w:r w:rsidR="00F61505">
        <w:t xml:space="preserve">discussed </w:t>
      </w:r>
      <w:r w:rsidR="003F07BA">
        <w:t>in Section 3</w:t>
      </w:r>
      <w:r>
        <w:t>.</w:t>
      </w:r>
    </w:p>
    <w:p w:rsidR="002238B9" w:rsidRDefault="002238B9" w:rsidP="00694AEC">
      <w:r>
        <w:t xml:space="preserve">Three situations are worth noting were UPEs treated as distribution reinvestment arrangements and </w:t>
      </w:r>
      <w:r w:rsidR="003F07BA">
        <w:t xml:space="preserve">the </w:t>
      </w:r>
      <w:r>
        <w:t xml:space="preserve">integration-style treatment </w:t>
      </w:r>
      <w:r w:rsidR="003F07BA">
        <w:t xml:space="preserve">suggested in Section 3 </w:t>
      </w:r>
      <w:r>
        <w:t>applied to corporate beneficiaries</w:t>
      </w:r>
      <w:r w:rsidR="00B3565F">
        <w:t xml:space="preserve"> along with the 30 per cent minimum tax applying to discretionary trusts</w:t>
      </w:r>
      <w:r>
        <w:t xml:space="preserve">. </w:t>
      </w:r>
    </w:p>
    <w:p w:rsidR="00377098" w:rsidRDefault="00377098" w:rsidP="008922F2">
      <w:pPr>
        <w:pStyle w:val="ListParagraph"/>
        <w:numPr>
          <w:ilvl w:val="0"/>
          <w:numId w:val="5"/>
        </w:numPr>
      </w:pPr>
      <w:r w:rsidRPr="008922F2">
        <w:rPr>
          <w:u w:val="single"/>
        </w:rPr>
        <w:t xml:space="preserve">Cash distribution to company plus </w:t>
      </w:r>
      <w:r w:rsidR="00C428EB" w:rsidRPr="008922F2">
        <w:rPr>
          <w:u w:val="single"/>
        </w:rPr>
        <w:t xml:space="preserve">immediate </w:t>
      </w:r>
      <w:r w:rsidRPr="008922F2">
        <w:rPr>
          <w:u w:val="single"/>
        </w:rPr>
        <w:t>distribution to shareholders</w:t>
      </w:r>
      <w:r w:rsidR="002238B9">
        <w:t>.</w:t>
      </w:r>
      <w:r w:rsidR="00C428EB">
        <w:t xml:space="preserve"> Current-year income </w:t>
      </w:r>
      <w:r w:rsidR="003F07BA">
        <w:t xml:space="preserve">would be </w:t>
      </w:r>
      <w:r w:rsidR="00C428EB">
        <w:t>taxed at the personal tax rates of shareholders</w:t>
      </w:r>
      <w:r w:rsidR="003F07BA">
        <w:t xml:space="preserve">, subject to minimum tax rate </w:t>
      </w:r>
      <w:r w:rsidR="004B56A8">
        <w:t>applying</w:t>
      </w:r>
      <w:r w:rsidR="00C428EB">
        <w:t xml:space="preserve">. </w:t>
      </w:r>
      <w:r w:rsidR="00B3565F">
        <w:t>This situation corresponds to that depicted in Column (3), Table 1 in Section 3.</w:t>
      </w:r>
      <w:r w:rsidR="002238B9">
        <w:t xml:space="preserve"> </w:t>
      </w:r>
      <w:r>
        <w:t xml:space="preserve"> </w:t>
      </w:r>
    </w:p>
    <w:p w:rsidR="00377098" w:rsidRDefault="00377098" w:rsidP="008922F2">
      <w:pPr>
        <w:pStyle w:val="ListParagraph"/>
        <w:numPr>
          <w:ilvl w:val="0"/>
          <w:numId w:val="5"/>
        </w:numPr>
      </w:pPr>
      <w:r w:rsidRPr="008922F2">
        <w:rPr>
          <w:u w:val="single"/>
        </w:rPr>
        <w:t>Cash distribution to company plus retention</w:t>
      </w:r>
      <w:r w:rsidR="00C428EB">
        <w:t xml:space="preserve">. Current-year taxable income taxed </w:t>
      </w:r>
      <w:r w:rsidR="00B3565F">
        <w:t xml:space="preserve">to shareholders </w:t>
      </w:r>
      <w:r w:rsidR="00C428EB">
        <w:t xml:space="preserve">at personal rates </w:t>
      </w:r>
      <w:r w:rsidR="003F07BA">
        <w:t xml:space="preserve">(subject to minimum tax </w:t>
      </w:r>
      <w:r w:rsidR="00F57B92">
        <w:t xml:space="preserve">rate) </w:t>
      </w:r>
      <w:r w:rsidR="00793214">
        <w:t>accompanied by</w:t>
      </w:r>
      <w:r w:rsidR="00C428EB">
        <w:t xml:space="preserve"> CGT cost base adjustments on their shares.</w:t>
      </w:r>
    </w:p>
    <w:p w:rsidR="00377098" w:rsidRDefault="00377098" w:rsidP="008922F2">
      <w:pPr>
        <w:pStyle w:val="ListParagraph"/>
        <w:numPr>
          <w:ilvl w:val="0"/>
          <w:numId w:val="5"/>
        </w:numPr>
      </w:pPr>
      <w:r w:rsidRPr="008922F2">
        <w:rPr>
          <w:u w:val="single"/>
        </w:rPr>
        <w:t>UPE</w:t>
      </w:r>
      <w:r w:rsidR="00C428EB">
        <w:t xml:space="preserve">. </w:t>
      </w:r>
      <w:r w:rsidR="00B3565F">
        <w:t>Current-year t</w:t>
      </w:r>
      <w:r w:rsidR="00C428EB">
        <w:t>axable income</w:t>
      </w:r>
      <w:r>
        <w:t xml:space="preserve"> </w:t>
      </w:r>
      <w:r w:rsidR="008922F2">
        <w:t xml:space="preserve">associated with UPE </w:t>
      </w:r>
      <w:r>
        <w:t>flow</w:t>
      </w:r>
      <w:r w:rsidR="008922F2">
        <w:t>s</w:t>
      </w:r>
      <w:r>
        <w:t xml:space="preserve"> through to shareholders</w:t>
      </w:r>
      <w:r w:rsidR="008922F2">
        <w:t xml:space="preserve"> to be taxed at their personal tax rate </w:t>
      </w:r>
      <w:r w:rsidR="004B56A8">
        <w:t>(</w:t>
      </w:r>
      <w:r w:rsidR="008922F2">
        <w:t xml:space="preserve">again </w:t>
      </w:r>
      <w:r w:rsidR="00F57B92">
        <w:t>subject to minimum tax rate</w:t>
      </w:r>
      <w:r w:rsidR="004B56A8">
        <w:t>)</w:t>
      </w:r>
      <w:r w:rsidR="00F57B92">
        <w:t xml:space="preserve"> </w:t>
      </w:r>
      <w:r w:rsidR="00793214">
        <w:t>accompanied by</w:t>
      </w:r>
      <w:r w:rsidR="008922F2">
        <w:t xml:space="preserve"> CGT cost base adjustments on their shares (equivalent to retained income flowing through the company chain under integration of taxable income design for companies</w:t>
      </w:r>
      <w:r w:rsidR="008922F2">
        <w:rPr>
          <w:rStyle w:val="FootnoteReference"/>
        </w:rPr>
        <w:footnoteReference w:id="13"/>
      </w:r>
      <w:r w:rsidR="008922F2">
        <w:t>)</w:t>
      </w:r>
      <w:r w:rsidR="00C428EB">
        <w:t xml:space="preserve">. </w:t>
      </w:r>
      <w:r>
        <w:t xml:space="preserve"> </w:t>
      </w:r>
    </w:p>
    <w:p w:rsidR="002238B9" w:rsidRDefault="002238B9" w:rsidP="00694AEC">
      <w:r>
        <w:t xml:space="preserve">In each of these situations, </w:t>
      </w:r>
      <w:r w:rsidR="00F57B92">
        <w:t xml:space="preserve">as discussed in Section 3, </w:t>
      </w:r>
      <w:r w:rsidR="00534551">
        <w:t xml:space="preserve">a minimum tax rate applying to the annual taxable company income either distributed or allocated to the corporate beneficiary’s shareholders </w:t>
      </w:r>
      <w:r w:rsidR="00F57B92">
        <w:t xml:space="preserve">would </w:t>
      </w:r>
      <w:r w:rsidR="00534551">
        <w:t>be achieved by denying them refunds of excess franking credits</w:t>
      </w:r>
      <w:r w:rsidR="00C428EB">
        <w:t>, consistent with the minimum tax on individual trust beneficiaries (again regardless of their level of other taxable income).</w:t>
      </w:r>
      <w:r w:rsidR="00534551">
        <w:t xml:space="preserve"> </w:t>
      </w:r>
      <w:r w:rsidR="00793214">
        <w:t>As also noted in Section 3, t</w:t>
      </w:r>
      <w:r w:rsidR="00534551">
        <w:t>o ensure the same 30 per cent minimum tax applie</w:t>
      </w:r>
      <w:r w:rsidR="00793214">
        <w:t>s</w:t>
      </w:r>
      <w:r w:rsidR="00534551">
        <w:t xml:space="preserve"> to the shareholders, it may be necessary to have the 30 per cent company tax rate always apply to </w:t>
      </w:r>
      <w:r w:rsidR="00D95F61">
        <w:t>corporate beneficiaries.</w:t>
      </w:r>
      <w:r w:rsidR="00C428EB">
        <w:t xml:space="preserve"> </w:t>
      </w:r>
    </w:p>
    <w:p w:rsidR="006C2D20" w:rsidRDefault="00377098" w:rsidP="00694AEC">
      <w:r>
        <w:t>There is a decision to be made here: on the one hand, proceed with the proposed inelegant design of double-taxing corporate beneficiaries; or, on the other, introduc</w:t>
      </w:r>
      <w:r w:rsidR="004B56A8">
        <w:t>e</w:t>
      </w:r>
      <w:r>
        <w:t xml:space="preserve"> design that is consistent with investment-neutral properties of income taxation and aims at leaving taxpayers to use corporate beneficiaries if they wish for purposes other than tax adv</w:t>
      </w:r>
      <w:r w:rsidR="006C2D20">
        <w:t>antage.</w:t>
      </w:r>
    </w:p>
    <w:p w:rsidR="008922F2" w:rsidRDefault="008922F2" w:rsidP="00694AEC"/>
    <w:p w:rsidR="00377098" w:rsidRDefault="006C2D20" w:rsidP="00694AEC">
      <w:r>
        <w:t>2</w:t>
      </w:r>
      <w:r w:rsidR="00D52846">
        <w:t>9</w:t>
      </w:r>
      <w:r>
        <w:t xml:space="preserve"> July 2026</w:t>
      </w:r>
      <w:r w:rsidR="00377098">
        <w:t xml:space="preserve"> </w:t>
      </w:r>
    </w:p>
    <w:sectPr w:rsidR="0037709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DCC" w:rsidRDefault="00807DCC" w:rsidP="00694AEC">
      <w:pPr>
        <w:spacing w:after="0" w:line="240" w:lineRule="auto"/>
      </w:pPr>
      <w:r>
        <w:separator/>
      </w:r>
    </w:p>
  </w:endnote>
  <w:endnote w:type="continuationSeparator" w:id="0">
    <w:p w:rsidR="00807DCC" w:rsidRDefault="00807DCC" w:rsidP="00694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550265"/>
      <w:docPartObj>
        <w:docPartGallery w:val="Page Numbers (Bottom of Page)"/>
        <w:docPartUnique/>
      </w:docPartObj>
    </w:sdtPr>
    <w:sdtEndPr>
      <w:rPr>
        <w:noProof/>
      </w:rPr>
    </w:sdtEndPr>
    <w:sdtContent>
      <w:p w:rsidR="00054C95" w:rsidRDefault="00054C95">
        <w:pPr>
          <w:pStyle w:val="Footer"/>
          <w:jc w:val="right"/>
        </w:pPr>
        <w:r>
          <w:fldChar w:fldCharType="begin"/>
        </w:r>
        <w:r>
          <w:instrText xml:space="preserve"> PAGE   \* MERGEFORMAT </w:instrText>
        </w:r>
        <w:r>
          <w:fldChar w:fldCharType="separate"/>
        </w:r>
        <w:r w:rsidR="005421A4">
          <w:rPr>
            <w:noProof/>
          </w:rPr>
          <w:t>1</w:t>
        </w:r>
        <w:r>
          <w:rPr>
            <w:noProof/>
          </w:rPr>
          <w:fldChar w:fldCharType="end"/>
        </w:r>
      </w:p>
    </w:sdtContent>
  </w:sdt>
  <w:p w:rsidR="00054C95" w:rsidRDefault="00054C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DCC" w:rsidRDefault="00807DCC" w:rsidP="00694AEC">
      <w:pPr>
        <w:spacing w:after="0" w:line="240" w:lineRule="auto"/>
      </w:pPr>
      <w:r>
        <w:separator/>
      </w:r>
    </w:p>
  </w:footnote>
  <w:footnote w:type="continuationSeparator" w:id="0">
    <w:p w:rsidR="00807DCC" w:rsidRDefault="00807DCC" w:rsidP="00694AEC">
      <w:pPr>
        <w:spacing w:after="0" w:line="240" w:lineRule="auto"/>
      </w:pPr>
      <w:r>
        <w:continuationSeparator/>
      </w:r>
    </w:p>
  </w:footnote>
  <w:footnote w:id="1">
    <w:p w:rsidR="00054C95" w:rsidRDefault="00054C95" w:rsidP="00694AEC">
      <w:pPr>
        <w:pStyle w:val="FootnoteText"/>
      </w:pPr>
      <w:r>
        <w:rPr>
          <w:rStyle w:val="FootnoteReference"/>
        </w:rPr>
        <w:footnoteRef/>
      </w:r>
      <w:r>
        <w:t xml:space="preserve"> Wayne Mayo had senior executive roles within Treasury dealing with business income tax issues in both the 1985 tax reform process and prior to, and during, the 1999 Ralph Review of Business Taxation and is the author of a number of articles and books on income and rent taxation (www.kyscope.com.au).</w:t>
      </w:r>
    </w:p>
  </w:footnote>
  <w:footnote w:id="2">
    <w:p w:rsidR="00054C95" w:rsidRPr="00086F25" w:rsidRDefault="00054C95">
      <w:pPr>
        <w:pStyle w:val="FootnoteText"/>
        <w:rPr>
          <w:lang w:val="en-US"/>
        </w:rPr>
      </w:pPr>
      <w:r>
        <w:rPr>
          <w:rStyle w:val="FootnoteReference"/>
        </w:rPr>
        <w:footnoteRef/>
      </w:r>
      <w:r>
        <w:t xml:space="preserve"> Mayo W, </w:t>
      </w:r>
      <w:r w:rsidRPr="00C20261">
        <w:rPr>
          <w:i/>
        </w:rPr>
        <w:t>Tax</w:t>
      </w:r>
      <w:r>
        <w:rPr>
          <w:i/>
        </w:rPr>
        <w:t xml:space="preserve"> Policy Advisor Extraordinaire: reforming the taxation of investment income</w:t>
      </w:r>
      <w:r>
        <w:t>, (aka ‘</w:t>
      </w:r>
      <w:r w:rsidRPr="00D22356">
        <w:rPr>
          <w:i/>
        </w:rPr>
        <w:t>Brad</w:t>
      </w:r>
      <w:r>
        <w:t xml:space="preserve">’), </w:t>
      </w:r>
      <w:proofErr w:type="spellStart"/>
      <w:r>
        <w:t>Kyscope</w:t>
      </w:r>
      <w:proofErr w:type="spellEnd"/>
      <w:r>
        <w:t xml:space="preserve"> publishing, Canberra, 2025, Ch6, </w:t>
      </w:r>
      <w:proofErr w:type="spellStart"/>
      <w:r>
        <w:t>pp</w:t>
      </w:r>
      <w:proofErr w:type="spellEnd"/>
      <w:r>
        <w:t xml:space="preserve"> 23-27.</w:t>
      </w:r>
    </w:p>
  </w:footnote>
  <w:footnote w:id="3">
    <w:p w:rsidR="00054C95" w:rsidRDefault="00054C95">
      <w:pPr>
        <w:pStyle w:val="FootnoteText"/>
      </w:pPr>
      <w:r>
        <w:rPr>
          <w:rStyle w:val="FootnoteReference"/>
        </w:rPr>
        <w:footnoteRef/>
      </w:r>
      <w:r>
        <w:t xml:space="preserve"> An explanation if some of the complexity is attempted in </w:t>
      </w:r>
      <w:r w:rsidRPr="006F5CA7">
        <w:rPr>
          <w:i/>
        </w:rPr>
        <w:t>Brad</w:t>
      </w:r>
      <w:r>
        <w:t>, above n 2, Ch6, p 24-25.</w:t>
      </w:r>
    </w:p>
  </w:footnote>
  <w:footnote w:id="4">
    <w:p w:rsidR="00054C95" w:rsidRDefault="00054C95">
      <w:pPr>
        <w:pStyle w:val="FootnoteText"/>
      </w:pPr>
      <w:r>
        <w:rPr>
          <w:rStyle w:val="FootnoteReference"/>
        </w:rPr>
        <w:footnoteRef/>
      </w:r>
      <w:r>
        <w:t xml:space="preserve"> Underpinned by annual income (in practice, annual taxable income) being taxed at the personal tax rates of wage earners and of investors regardless of types of investment vehicles employed. See </w:t>
      </w:r>
      <w:r w:rsidRPr="00816ECC">
        <w:rPr>
          <w:i/>
        </w:rPr>
        <w:t>Brad</w:t>
      </w:r>
      <w:r>
        <w:t xml:space="preserve">, above n 2, Ch1, </w:t>
      </w:r>
      <w:proofErr w:type="spellStart"/>
      <w:r>
        <w:t>pp</w:t>
      </w:r>
      <w:proofErr w:type="spellEnd"/>
      <w:r>
        <w:t xml:space="preserve"> 12-20, which includes references to foundational academic articles.    </w:t>
      </w:r>
    </w:p>
  </w:footnote>
  <w:footnote w:id="5">
    <w:p w:rsidR="00054C95" w:rsidRDefault="00054C95">
      <w:pPr>
        <w:pStyle w:val="FootnoteText"/>
      </w:pPr>
      <w:r>
        <w:rPr>
          <w:rStyle w:val="FootnoteReference"/>
        </w:rPr>
        <w:footnoteRef/>
      </w:r>
      <w:r>
        <w:t xml:space="preserve"> Australian Government, ‘Improving the taxation of trust income’, Discussion paper, March, 2011. Available at: https://</w:t>
      </w:r>
      <w:r w:rsidRPr="00BD7FDB">
        <w:t>treasury.gov.au/sites/default/files/2019-03/Discussion_paper_Improving_the_taxation_of_trust_income.pdf</w:t>
      </w:r>
      <w:r>
        <w:t xml:space="preserve"> </w:t>
      </w:r>
    </w:p>
  </w:footnote>
  <w:footnote w:id="6">
    <w:p w:rsidR="00054C95" w:rsidRDefault="00054C95">
      <w:pPr>
        <w:pStyle w:val="FootnoteText"/>
      </w:pPr>
      <w:r>
        <w:rPr>
          <w:rStyle w:val="FootnoteReference"/>
        </w:rPr>
        <w:footnoteRef/>
      </w:r>
      <w:r>
        <w:t xml:space="preserve"> See </w:t>
      </w:r>
      <w:r w:rsidRPr="00816ECC">
        <w:rPr>
          <w:i/>
        </w:rPr>
        <w:t>Brad</w:t>
      </w:r>
      <w:r>
        <w:t xml:space="preserve">, above n 2, Ch6, </w:t>
      </w:r>
      <w:proofErr w:type="spellStart"/>
      <w:r>
        <w:t>pp</w:t>
      </w:r>
      <w:proofErr w:type="spellEnd"/>
      <w:r>
        <w:t xml:space="preserve"> 28-29.</w:t>
      </w:r>
    </w:p>
  </w:footnote>
  <w:footnote w:id="7">
    <w:p w:rsidR="00054C95" w:rsidRDefault="00054C95">
      <w:pPr>
        <w:pStyle w:val="FootnoteText"/>
      </w:pPr>
      <w:r>
        <w:rPr>
          <w:rStyle w:val="FootnoteReference"/>
        </w:rPr>
        <w:footnoteRef/>
      </w:r>
      <w:r>
        <w:t xml:space="preserve"> See, for example, </w:t>
      </w:r>
      <w:r w:rsidRPr="00816ECC">
        <w:rPr>
          <w:i/>
        </w:rPr>
        <w:t>Brad</w:t>
      </w:r>
      <w:r>
        <w:t xml:space="preserve">, above n 2, Ch6, </w:t>
      </w:r>
      <w:proofErr w:type="spellStart"/>
      <w:r>
        <w:t>pp</w:t>
      </w:r>
      <w:proofErr w:type="spellEnd"/>
      <w:r>
        <w:t xml:space="preserve"> 13-14. </w:t>
      </w:r>
    </w:p>
  </w:footnote>
  <w:footnote w:id="8">
    <w:p w:rsidR="00054C95" w:rsidRDefault="00054C95">
      <w:pPr>
        <w:pStyle w:val="FootnoteText"/>
      </w:pPr>
      <w:r>
        <w:rPr>
          <w:rStyle w:val="FootnoteReference"/>
        </w:rPr>
        <w:footnoteRef/>
      </w:r>
      <w:r>
        <w:t xml:space="preserve"> See </w:t>
      </w:r>
      <w:r w:rsidRPr="00816ECC">
        <w:rPr>
          <w:i/>
        </w:rPr>
        <w:t>Brad</w:t>
      </w:r>
      <w:r>
        <w:t>, above n 2, Ch3, for such all-inclusive design for regular companies.</w:t>
      </w:r>
    </w:p>
  </w:footnote>
  <w:footnote w:id="9">
    <w:p w:rsidR="00054C95" w:rsidRDefault="00054C95" w:rsidP="00EC1BAD">
      <w:pPr>
        <w:pStyle w:val="FootnoteText"/>
      </w:pPr>
      <w:r>
        <w:rPr>
          <w:rStyle w:val="FootnoteReference"/>
        </w:rPr>
        <w:footnoteRef/>
      </w:r>
      <w:r>
        <w:t xml:space="preserve"> See </w:t>
      </w:r>
      <w:r w:rsidRPr="00816ECC">
        <w:rPr>
          <w:i/>
        </w:rPr>
        <w:t>Brad</w:t>
      </w:r>
      <w:r>
        <w:t>, above n 2, Ch6, p 14.</w:t>
      </w:r>
    </w:p>
  </w:footnote>
  <w:footnote w:id="10">
    <w:p w:rsidR="00054C95" w:rsidRDefault="00054C95" w:rsidP="00EC1BAD">
      <w:pPr>
        <w:pStyle w:val="FootnoteText"/>
      </w:pPr>
      <w:r>
        <w:rPr>
          <w:rStyle w:val="FootnoteReference"/>
        </w:rPr>
        <w:footnoteRef/>
      </w:r>
      <w:r>
        <w:t xml:space="preserve"> See </w:t>
      </w:r>
      <w:r w:rsidRPr="00816ECC">
        <w:rPr>
          <w:i/>
        </w:rPr>
        <w:t>Brad</w:t>
      </w:r>
      <w:r>
        <w:t>, above n 2, Ch3, p 10.</w:t>
      </w:r>
    </w:p>
  </w:footnote>
  <w:footnote w:id="11">
    <w:p w:rsidR="00054C95" w:rsidRDefault="00054C95">
      <w:pPr>
        <w:pStyle w:val="FootnoteText"/>
      </w:pPr>
      <w:r>
        <w:rPr>
          <w:rStyle w:val="FootnoteReference"/>
        </w:rPr>
        <w:footnoteRef/>
      </w:r>
      <w:r>
        <w:t xml:space="preserve"> Column (2) is consistent with Case III in Tables 4 (p 132) and 6 (p 139) in Mayo W, ‘Interest, Exempt Income and Inter-corporate Dividends’, </w:t>
      </w:r>
      <w:r w:rsidRPr="007B6AFD">
        <w:rPr>
          <w:i/>
        </w:rPr>
        <w:t>Australian Tax Forum</w:t>
      </w:r>
      <w:r>
        <w:t xml:space="preserve">, </w:t>
      </w:r>
      <w:proofErr w:type="spellStart"/>
      <w:r>
        <w:t>Vol</w:t>
      </w:r>
      <w:proofErr w:type="spellEnd"/>
      <w:r>
        <w:t xml:space="preserve"> 4, No 1, 1987 (though the accompanying discussion covers a number of imputation designs around at the time). </w:t>
      </w:r>
      <w:proofErr w:type="gramStart"/>
      <w:r>
        <w:t>Available at www.kyscope.com.au/developer.</w:t>
      </w:r>
      <w:proofErr w:type="gramEnd"/>
      <w:r>
        <w:t xml:space="preserve">  </w:t>
      </w:r>
    </w:p>
  </w:footnote>
  <w:footnote w:id="12">
    <w:p w:rsidR="00054C95" w:rsidRDefault="00054C95">
      <w:pPr>
        <w:pStyle w:val="FootnoteText"/>
      </w:pPr>
      <w:r>
        <w:rPr>
          <w:rStyle w:val="FootnoteReference"/>
        </w:rPr>
        <w:footnoteRef/>
      </w:r>
      <w:r>
        <w:t xml:space="preserve"> See </w:t>
      </w:r>
      <w:r w:rsidRPr="00816ECC">
        <w:rPr>
          <w:i/>
        </w:rPr>
        <w:t>Brad</w:t>
      </w:r>
      <w:r>
        <w:t xml:space="preserve">, above n 2, Ch6, </w:t>
      </w:r>
      <w:proofErr w:type="spellStart"/>
      <w:r>
        <w:t>pp</w:t>
      </w:r>
      <w:proofErr w:type="spellEnd"/>
      <w:r>
        <w:t xml:space="preserve"> 19-21.</w:t>
      </w:r>
    </w:p>
  </w:footnote>
  <w:footnote w:id="13">
    <w:p w:rsidR="00054C95" w:rsidRDefault="00054C95">
      <w:pPr>
        <w:pStyle w:val="FootnoteText"/>
      </w:pPr>
      <w:r>
        <w:rPr>
          <w:rStyle w:val="FootnoteReference"/>
        </w:rPr>
        <w:footnoteRef/>
      </w:r>
      <w:r>
        <w:t xml:space="preserve"> See </w:t>
      </w:r>
      <w:r w:rsidRPr="00816ECC">
        <w:rPr>
          <w:i/>
        </w:rPr>
        <w:t>Brad</w:t>
      </w:r>
      <w:r>
        <w:t>, above n 2, Ch3 p 18, for a brief description of this.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309"/>
    <w:multiLevelType w:val="hybridMultilevel"/>
    <w:tmpl w:val="29EA4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7403028"/>
    <w:multiLevelType w:val="hybridMultilevel"/>
    <w:tmpl w:val="6930B2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3FB1727"/>
    <w:multiLevelType w:val="hybridMultilevel"/>
    <w:tmpl w:val="EC24D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82B25CA"/>
    <w:multiLevelType w:val="hybridMultilevel"/>
    <w:tmpl w:val="C9CC2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DCA5127"/>
    <w:multiLevelType w:val="hybridMultilevel"/>
    <w:tmpl w:val="28769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6C0295A"/>
    <w:multiLevelType w:val="hybridMultilevel"/>
    <w:tmpl w:val="E194A36A"/>
    <w:lvl w:ilvl="0" w:tplc="567C57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AEC"/>
    <w:rsid w:val="000330D6"/>
    <w:rsid w:val="00054C95"/>
    <w:rsid w:val="00066CF2"/>
    <w:rsid w:val="00076A0F"/>
    <w:rsid w:val="00077928"/>
    <w:rsid w:val="00086F25"/>
    <w:rsid w:val="00122BF8"/>
    <w:rsid w:val="00127A18"/>
    <w:rsid w:val="00145AB5"/>
    <w:rsid w:val="00171927"/>
    <w:rsid w:val="001876FA"/>
    <w:rsid w:val="001948DB"/>
    <w:rsid w:val="001B6765"/>
    <w:rsid w:val="001D0187"/>
    <w:rsid w:val="001E2DEE"/>
    <w:rsid w:val="0020568F"/>
    <w:rsid w:val="00207EBD"/>
    <w:rsid w:val="002238B9"/>
    <w:rsid w:val="002313BA"/>
    <w:rsid w:val="00246B15"/>
    <w:rsid w:val="00286904"/>
    <w:rsid w:val="002A6F95"/>
    <w:rsid w:val="00340736"/>
    <w:rsid w:val="00350B03"/>
    <w:rsid w:val="0036670E"/>
    <w:rsid w:val="00370597"/>
    <w:rsid w:val="00370C4D"/>
    <w:rsid w:val="0037442D"/>
    <w:rsid w:val="0037632B"/>
    <w:rsid w:val="00377098"/>
    <w:rsid w:val="00380272"/>
    <w:rsid w:val="003932E9"/>
    <w:rsid w:val="003A4D25"/>
    <w:rsid w:val="003A68F0"/>
    <w:rsid w:val="003D3703"/>
    <w:rsid w:val="003D6C60"/>
    <w:rsid w:val="003E5B1C"/>
    <w:rsid w:val="003E6CB0"/>
    <w:rsid w:val="003F07BA"/>
    <w:rsid w:val="00410FB0"/>
    <w:rsid w:val="004237B6"/>
    <w:rsid w:val="00426197"/>
    <w:rsid w:val="00437F93"/>
    <w:rsid w:val="00466126"/>
    <w:rsid w:val="004A25B4"/>
    <w:rsid w:val="004A27D7"/>
    <w:rsid w:val="004B5607"/>
    <w:rsid w:val="004B56A8"/>
    <w:rsid w:val="004C4488"/>
    <w:rsid w:val="004D2DCF"/>
    <w:rsid w:val="00534551"/>
    <w:rsid w:val="005421A4"/>
    <w:rsid w:val="00552EEC"/>
    <w:rsid w:val="00565572"/>
    <w:rsid w:val="005668E0"/>
    <w:rsid w:val="0057467B"/>
    <w:rsid w:val="00587800"/>
    <w:rsid w:val="005A1D65"/>
    <w:rsid w:val="006040E4"/>
    <w:rsid w:val="00654E8F"/>
    <w:rsid w:val="0066572D"/>
    <w:rsid w:val="00672D16"/>
    <w:rsid w:val="00694AEC"/>
    <w:rsid w:val="006978B8"/>
    <w:rsid w:val="006B1C1D"/>
    <w:rsid w:val="006B5579"/>
    <w:rsid w:val="006C2D20"/>
    <w:rsid w:val="006C4A3C"/>
    <w:rsid w:val="006D1EDE"/>
    <w:rsid w:val="006D472C"/>
    <w:rsid w:val="006F5CA7"/>
    <w:rsid w:val="00743A41"/>
    <w:rsid w:val="007532E7"/>
    <w:rsid w:val="0078142C"/>
    <w:rsid w:val="00793214"/>
    <w:rsid w:val="007A4592"/>
    <w:rsid w:val="007B0916"/>
    <w:rsid w:val="007B12EA"/>
    <w:rsid w:val="007B3400"/>
    <w:rsid w:val="007B6AFD"/>
    <w:rsid w:val="007C6011"/>
    <w:rsid w:val="007E20BE"/>
    <w:rsid w:val="007F17F3"/>
    <w:rsid w:val="00807DCC"/>
    <w:rsid w:val="00811299"/>
    <w:rsid w:val="00816ECC"/>
    <w:rsid w:val="0081731E"/>
    <w:rsid w:val="00832217"/>
    <w:rsid w:val="00842FF8"/>
    <w:rsid w:val="00881FD2"/>
    <w:rsid w:val="008863E1"/>
    <w:rsid w:val="008922F2"/>
    <w:rsid w:val="008A554D"/>
    <w:rsid w:val="008A71C0"/>
    <w:rsid w:val="008A7F54"/>
    <w:rsid w:val="008B3860"/>
    <w:rsid w:val="008E09F5"/>
    <w:rsid w:val="008E4952"/>
    <w:rsid w:val="00903D88"/>
    <w:rsid w:val="00921FA5"/>
    <w:rsid w:val="00966D9E"/>
    <w:rsid w:val="009A10D1"/>
    <w:rsid w:val="009B5CF3"/>
    <w:rsid w:val="009D782C"/>
    <w:rsid w:val="009D7A07"/>
    <w:rsid w:val="00A40A5B"/>
    <w:rsid w:val="00A441F0"/>
    <w:rsid w:val="00A64088"/>
    <w:rsid w:val="00A6717E"/>
    <w:rsid w:val="00AA3968"/>
    <w:rsid w:val="00AE7516"/>
    <w:rsid w:val="00AF0C5E"/>
    <w:rsid w:val="00AF1A9B"/>
    <w:rsid w:val="00AF4572"/>
    <w:rsid w:val="00B02BB7"/>
    <w:rsid w:val="00B036F9"/>
    <w:rsid w:val="00B23DA0"/>
    <w:rsid w:val="00B30DD4"/>
    <w:rsid w:val="00B3565F"/>
    <w:rsid w:val="00B36CDE"/>
    <w:rsid w:val="00B67074"/>
    <w:rsid w:val="00B93453"/>
    <w:rsid w:val="00B948AB"/>
    <w:rsid w:val="00B978B9"/>
    <w:rsid w:val="00BA2D27"/>
    <w:rsid w:val="00BA7C91"/>
    <w:rsid w:val="00BD7FDB"/>
    <w:rsid w:val="00BE46A1"/>
    <w:rsid w:val="00C33E38"/>
    <w:rsid w:val="00C428EB"/>
    <w:rsid w:val="00C53679"/>
    <w:rsid w:val="00C551D2"/>
    <w:rsid w:val="00C82780"/>
    <w:rsid w:val="00CE5985"/>
    <w:rsid w:val="00CF3A4A"/>
    <w:rsid w:val="00D13B0C"/>
    <w:rsid w:val="00D22356"/>
    <w:rsid w:val="00D52846"/>
    <w:rsid w:val="00D543C9"/>
    <w:rsid w:val="00D729D1"/>
    <w:rsid w:val="00D908D6"/>
    <w:rsid w:val="00D95CB9"/>
    <w:rsid w:val="00D95F61"/>
    <w:rsid w:val="00DB744F"/>
    <w:rsid w:val="00DC4681"/>
    <w:rsid w:val="00DD0D64"/>
    <w:rsid w:val="00DE6702"/>
    <w:rsid w:val="00E0452C"/>
    <w:rsid w:val="00E159C2"/>
    <w:rsid w:val="00E264AD"/>
    <w:rsid w:val="00E474B7"/>
    <w:rsid w:val="00E7274E"/>
    <w:rsid w:val="00E771C3"/>
    <w:rsid w:val="00E868FB"/>
    <w:rsid w:val="00E93188"/>
    <w:rsid w:val="00EC1BAD"/>
    <w:rsid w:val="00EC3A6C"/>
    <w:rsid w:val="00ED034A"/>
    <w:rsid w:val="00EE00AE"/>
    <w:rsid w:val="00EF0CBD"/>
    <w:rsid w:val="00F02330"/>
    <w:rsid w:val="00F1324E"/>
    <w:rsid w:val="00F27081"/>
    <w:rsid w:val="00F2722C"/>
    <w:rsid w:val="00F50555"/>
    <w:rsid w:val="00F57B92"/>
    <w:rsid w:val="00F61505"/>
    <w:rsid w:val="00FA5C9D"/>
    <w:rsid w:val="00FB0592"/>
    <w:rsid w:val="00FC4B5B"/>
    <w:rsid w:val="00FD4E34"/>
    <w:rsid w:val="00FE0A37"/>
    <w:rsid w:val="00FE177A"/>
    <w:rsid w:val="00FF01B2"/>
    <w:rsid w:val="00FF23D6"/>
    <w:rsid w:val="00FF58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4A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AEC"/>
    <w:rPr>
      <w:sz w:val="20"/>
      <w:szCs w:val="20"/>
    </w:rPr>
  </w:style>
  <w:style w:type="character" w:styleId="FootnoteReference">
    <w:name w:val="footnote reference"/>
    <w:basedOn w:val="DefaultParagraphFont"/>
    <w:uiPriority w:val="99"/>
    <w:semiHidden/>
    <w:unhideWhenUsed/>
    <w:rsid w:val="00694AEC"/>
    <w:rPr>
      <w:vertAlign w:val="superscript"/>
    </w:rPr>
  </w:style>
  <w:style w:type="character" w:styleId="Hyperlink">
    <w:name w:val="Hyperlink"/>
    <w:basedOn w:val="DefaultParagraphFont"/>
    <w:uiPriority w:val="99"/>
    <w:unhideWhenUsed/>
    <w:rsid w:val="00694AEC"/>
    <w:rPr>
      <w:color w:val="0000FF" w:themeColor="hyperlink"/>
      <w:u w:val="single"/>
    </w:rPr>
  </w:style>
  <w:style w:type="paragraph" w:styleId="ListParagraph">
    <w:name w:val="List Paragraph"/>
    <w:basedOn w:val="Normal"/>
    <w:uiPriority w:val="34"/>
    <w:qFormat/>
    <w:rsid w:val="00C82780"/>
    <w:pPr>
      <w:ind w:left="720"/>
      <w:contextualSpacing/>
    </w:pPr>
  </w:style>
  <w:style w:type="paragraph" w:styleId="BalloonText">
    <w:name w:val="Balloon Text"/>
    <w:basedOn w:val="Normal"/>
    <w:link w:val="BalloonTextChar"/>
    <w:uiPriority w:val="99"/>
    <w:semiHidden/>
    <w:unhideWhenUsed/>
    <w:rsid w:val="00437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F93"/>
    <w:rPr>
      <w:rFonts w:ascii="Tahoma" w:hAnsi="Tahoma" w:cs="Tahoma"/>
      <w:sz w:val="16"/>
      <w:szCs w:val="16"/>
    </w:rPr>
  </w:style>
  <w:style w:type="table" w:styleId="TableGrid">
    <w:name w:val="Table Grid"/>
    <w:basedOn w:val="TableNormal"/>
    <w:uiPriority w:val="59"/>
    <w:rsid w:val="00BA7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D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D64"/>
  </w:style>
  <w:style w:type="paragraph" w:styleId="Footer">
    <w:name w:val="footer"/>
    <w:basedOn w:val="Normal"/>
    <w:link w:val="FooterChar"/>
    <w:uiPriority w:val="99"/>
    <w:unhideWhenUsed/>
    <w:rsid w:val="00DD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D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4A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AEC"/>
    <w:rPr>
      <w:sz w:val="20"/>
      <w:szCs w:val="20"/>
    </w:rPr>
  </w:style>
  <w:style w:type="character" w:styleId="FootnoteReference">
    <w:name w:val="footnote reference"/>
    <w:basedOn w:val="DefaultParagraphFont"/>
    <w:uiPriority w:val="99"/>
    <w:semiHidden/>
    <w:unhideWhenUsed/>
    <w:rsid w:val="00694AEC"/>
    <w:rPr>
      <w:vertAlign w:val="superscript"/>
    </w:rPr>
  </w:style>
  <w:style w:type="character" w:styleId="Hyperlink">
    <w:name w:val="Hyperlink"/>
    <w:basedOn w:val="DefaultParagraphFont"/>
    <w:uiPriority w:val="99"/>
    <w:unhideWhenUsed/>
    <w:rsid w:val="00694AEC"/>
    <w:rPr>
      <w:color w:val="0000FF" w:themeColor="hyperlink"/>
      <w:u w:val="single"/>
    </w:rPr>
  </w:style>
  <w:style w:type="paragraph" w:styleId="ListParagraph">
    <w:name w:val="List Paragraph"/>
    <w:basedOn w:val="Normal"/>
    <w:uiPriority w:val="34"/>
    <w:qFormat/>
    <w:rsid w:val="00C82780"/>
    <w:pPr>
      <w:ind w:left="720"/>
      <w:contextualSpacing/>
    </w:pPr>
  </w:style>
  <w:style w:type="paragraph" w:styleId="BalloonText">
    <w:name w:val="Balloon Text"/>
    <w:basedOn w:val="Normal"/>
    <w:link w:val="BalloonTextChar"/>
    <w:uiPriority w:val="99"/>
    <w:semiHidden/>
    <w:unhideWhenUsed/>
    <w:rsid w:val="00437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F93"/>
    <w:rPr>
      <w:rFonts w:ascii="Tahoma" w:hAnsi="Tahoma" w:cs="Tahoma"/>
      <w:sz w:val="16"/>
      <w:szCs w:val="16"/>
    </w:rPr>
  </w:style>
  <w:style w:type="table" w:styleId="TableGrid">
    <w:name w:val="Table Grid"/>
    <w:basedOn w:val="TableNormal"/>
    <w:uiPriority w:val="59"/>
    <w:rsid w:val="00BA7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D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D64"/>
  </w:style>
  <w:style w:type="paragraph" w:styleId="Footer">
    <w:name w:val="footer"/>
    <w:basedOn w:val="Normal"/>
    <w:link w:val="FooterChar"/>
    <w:uiPriority w:val="99"/>
    <w:unhideWhenUsed/>
    <w:rsid w:val="00DD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1D29C-F43C-4BA6-B8E8-B5B1A0298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7</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Mayo</dc:creator>
  <cp:lastModifiedBy>Wayne Mayo</cp:lastModifiedBy>
  <cp:revision>73</cp:revision>
  <cp:lastPrinted>2026-07-27T10:58:00Z</cp:lastPrinted>
  <dcterms:created xsi:type="dcterms:W3CDTF">2026-07-15T05:45:00Z</dcterms:created>
  <dcterms:modified xsi:type="dcterms:W3CDTF">2026-07-30T07:34:00Z</dcterms:modified>
</cp:coreProperties>
</file>