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58045" w14:textId="09B04FD3" w:rsidR="005813F0" w:rsidRDefault="005813F0" w:rsidP="000F3F2B">
      <w:pPr>
        <w:spacing w:after="0"/>
      </w:pPr>
      <w:bookmarkStart w:id="0" w:name="_GoBack"/>
      <w:bookmarkEnd w:id="0"/>
      <w:r>
        <w:rPr>
          <w:b/>
        </w:rPr>
        <w:tab/>
      </w:r>
      <w:r>
        <w:rPr>
          <w:b/>
        </w:rPr>
        <w:tab/>
      </w:r>
      <w:r>
        <w:rPr>
          <w:b/>
        </w:rPr>
        <w:tab/>
      </w:r>
      <w:r>
        <w:rPr>
          <w:b/>
        </w:rPr>
        <w:tab/>
      </w:r>
      <w:r>
        <w:rPr>
          <w:b/>
        </w:rPr>
        <w:tab/>
      </w:r>
      <w:r>
        <w:rPr>
          <w:b/>
        </w:rPr>
        <w:tab/>
      </w:r>
      <w:r>
        <w:rPr>
          <w:b/>
        </w:rPr>
        <w:tab/>
      </w:r>
      <w:r>
        <w:rPr>
          <w:b/>
        </w:rPr>
        <w:tab/>
      </w:r>
      <w:r w:rsidR="00642532">
        <w:rPr>
          <w:b/>
        </w:rPr>
        <w:t>[REDACTED]</w:t>
      </w:r>
    </w:p>
    <w:p w14:paraId="07F58046" w14:textId="4BF3056D" w:rsidR="005813F0" w:rsidRDefault="000F3F2B" w:rsidP="000F3F2B">
      <w:pPr>
        <w:spacing w:after="0"/>
      </w:pPr>
      <w:r>
        <w:tab/>
      </w:r>
      <w:r>
        <w:tab/>
      </w:r>
      <w:r>
        <w:tab/>
      </w:r>
      <w:r>
        <w:tab/>
      </w:r>
      <w:r>
        <w:tab/>
      </w:r>
      <w:r>
        <w:tab/>
      </w:r>
      <w:r>
        <w:tab/>
      </w:r>
      <w:r>
        <w:tab/>
      </w:r>
    </w:p>
    <w:p w14:paraId="07F58047" w14:textId="77777777" w:rsidR="000F3F2B" w:rsidRDefault="000F3F2B" w:rsidP="000F3F2B">
      <w:pPr>
        <w:spacing w:after="0"/>
      </w:pPr>
    </w:p>
    <w:p w14:paraId="07F58048" w14:textId="77777777" w:rsidR="000F3F2B" w:rsidRDefault="000F3F2B" w:rsidP="005813F0">
      <w:r>
        <w:tab/>
      </w:r>
      <w:r>
        <w:tab/>
      </w:r>
      <w:r>
        <w:tab/>
      </w:r>
      <w:r>
        <w:tab/>
      </w:r>
      <w:r>
        <w:tab/>
      </w:r>
      <w:r>
        <w:tab/>
      </w:r>
      <w:r>
        <w:tab/>
      </w:r>
      <w:r>
        <w:tab/>
      </w:r>
      <w:r w:rsidR="007426E7">
        <w:t>1</w:t>
      </w:r>
      <w:r w:rsidR="005E02C3">
        <w:t>2</w:t>
      </w:r>
      <w:r>
        <w:t xml:space="preserve"> September 2025</w:t>
      </w:r>
    </w:p>
    <w:p w14:paraId="07F58049" w14:textId="77777777" w:rsidR="000F3F2B" w:rsidRDefault="000F3F2B" w:rsidP="000F3F2B">
      <w:pPr>
        <w:spacing w:after="0"/>
      </w:pPr>
      <w:r>
        <w:t>Productivity Commission</w:t>
      </w:r>
    </w:p>
    <w:p w14:paraId="07F5804A" w14:textId="77777777" w:rsidR="000F3F2B" w:rsidRDefault="000F3F2B" w:rsidP="000F3F2B">
      <w:pPr>
        <w:spacing w:after="0"/>
      </w:pPr>
      <w:r>
        <w:t>4 National Circuit</w:t>
      </w:r>
    </w:p>
    <w:p w14:paraId="07F5804B" w14:textId="77777777" w:rsidR="000F3F2B" w:rsidRDefault="000F3F2B" w:rsidP="000F3F2B">
      <w:pPr>
        <w:spacing w:after="0"/>
      </w:pPr>
      <w:r>
        <w:t>Barton ACT 2600</w:t>
      </w:r>
    </w:p>
    <w:p w14:paraId="07F5804C" w14:textId="77777777" w:rsidR="000F3F2B" w:rsidRDefault="000F3F2B" w:rsidP="000F3F2B">
      <w:pPr>
        <w:spacing w:after="0"/>
      </w:pPr>
    </w:p>
    <w:p w14:paraId="07F5804D" w14:textId="77777777" w:rsidR="005813F0" w:rsidRPr="005813F0" w:rsidRDefault="00004604" w:rsidP="000F3F2B">
      <w:r>
        <w:t>Five Pillars Secretariat</w:t>
      </w:r>
    </w:p>
    <w:p w14:paraId="07F5804E" w14:textId="77777777" w:rsidR="00012E6C" w:rsidRDefault="000F3F2B" w:rsidP="000F3F2B">
      <w:pPr>
        <w:rPr>
          <w:b/>
        </w:rPr>
      </w:pPr>
      <w:r>
        <w:rPr>
          <w:b/>
        </w:rPr>
        <w:t>SU</w:t>
      </w:r>
      <w:r w:rsidR="000926C9">
        <w:rPr>
          <w:b/>
        </w:rPr>
        <w:t>B</w:t>
      </w:r>
      <w:r>
        <w:rPr>
          <w:b/>
        </w:rPr>
        <w:t xml:space="preserve">MISSION </w:t>
      </w:r>
      <w:r w:rsidR="00472A95">
        <w:rPr>
          <w:b/>
        </w:rPr>
        <w:t>ON</w:t>
      </w:r>
      <w:r>
        <w:rPr>
          <w:b/>
        </w:rPr>
        <w:t xml:space="preserve"> </w:t>
      </w:r>
      <w:r w:rsidR="00012E6C">
        <w:rPr>
          <w:b/>
        </w:rPr>
        <w:t>PC INTERIM REPORT: CREATING A MORE DYNAMIC AND RESILIENT ECONOMY</w:t>
      </w:r>
      <w:r>
        <w:rPr>
          <w:b/>
        </w:rPr>
        <w:t xml:space="preserve"> - CORPORATE</w:t>
      </w:r>
      <w:r w:rsidR="00012E6C">
        <w:rPr>
          <w:b/>
        </w:rPr>
        <w:t xml:space="preserve"> TAX REFORM TO SPUR BUSINESS INVESTMENT</w:t>
      </w:r>
    </w:p>
    <w:p w14:paraId="07F5804F" w14:textId="77777777" w:rsidR="000F3F2B" w:rsidRDefault="00B10A62" w:rsidP="000F3F2B">
      <w:r>
        <w:t xml:space="preserve">Attached is the </w:t>
      </w:r>
      <w:r w:rsidR="00E06408">
        <w:t>body</w:t>
      </w:r>
      <w:r>
        <w:t xml:space="preserve"> of my submission on the tax component of the above interim report of the Productivity Commission. Following is a brief summary of the submission</w:t>
      </w:r>
      <w:r w:rsidR="000926C9">
        <w:t>’s</w:t>
      </w:r>
      <w:r>
        <w:t xml:space="preserve"> contents. </w:t>
      </w:r>
    </w:p>
    <w:p w14:paraId="07F58050" w14:textId="77777777" w:rsidR="00914A58" w:rsidRPr="00914A58" w:rsidRDefault="00914A58" w:rsidP="000F3F2B">
      <w:pPr>
        <w:rPr>
          <w:b/>
        </w:rPr>
      </w:pPr>
      <w:r w:rsidRPr="00914A58">
        <w:rPr>
          <w:b/>
        </w:rPr>
        <w:t>The report’s proposals</w:t>
      </w:r>
    </w:p>
    <w:p w14:paraId="07F58051" w14:textId="77777777" w:rsidR="00914A58" w:rsidRDefault="00783971">
      <w:r>
        <w:t>The interim report</w:t>
      </w:r>
      <w:r w:rsidR="00914A58">
        <w:t>:</w:t>
      </w:r>
    </w:p>
    <w:p w14:paraId="07F58052" w14:textId="77777777" w:rsidR="00472A95" w:rsidRDefault="00783971" w:rsidP="00914A58">
      <w:pPr>
        <w:pStyle w:val="ListParagraph"/>
        <w:numPr>
          <w:ilvl w:val="0"/>
          <w:numId w:val="11"/>
        </w:numPr>
      </w:pPr>
      <w:r>
        <w:t xml:space="preserve">proposes a </w:t>
      </w:r>
      <w:r w:rsidR="005C7711">
        <w:t xml:space="preserve">fundamental change to our </w:t>
      </w:r>
      <w:r>
        <w:t xml:space="preserve">system </w:t>
      </w:r>
      <w:r w:rsidR="005C7711">
        <w:t>of</w:t>
      </w:r>
      <w:r>
        <w:t xml:space="preserve"> company taxation that </w:t>
      </w:r>
      <w:r w:rsidR="00095E24">
        <w:t>adds a</w:t>
      </w:r>
      <w:r w:rsidR="00472A95">
        <w:t xml:space="preserve"> separate</w:t>
      </w:r>
      <w:r w:rsidR="00095E24">
        <w:t xml:space="preserve"> 5%</w:t>
      </w:r>
      <w:r>
        <w:t xml:space="preserve"> </w:t>
      </w:r>
      <w:r w:rsidR="00472A95">
        <w:t>“net cashflow</w:t>
      </w:r>
      <w:r>
        <w:t xml:space="preserve"> tax</w:t>
      </w:r>
      <w:r w:rsidR="00472A95">
        <w:t>” (NCT)</w:t>
      </w:r>
      <w:r w:rsidR="00095E24">
        <w:t xml:space="preserve"> to </w:t>
      </w:r>
      <w:r w:rsidR="001170AF">
        <w:t xml:space="preserve">our current </w:t>
      </w:r>
      <w:r w:rsidR="00095E24">
        <w:t>company income tax</w:t>
      </w:r>
      <w:r>
        <w:t xml:space="preserve"> </w:t>
      </w:r>
      <w:r w:rsidR="00472A95">
        <w:t xml:space="preserve">arrangements </w:t>
      </w:r>
      <w:r w:rsidR="000926C9">
        <w:t>and reduces</w:t>
      </w:r>
      <w:r w:rsidR="00472A95">
        <w:t xml:space="preserve"> </w:t>
      </w:r>
      <w:r w:rsidR="00095E24">
        <w:t>the company tax rate to 20% for small and medium</w:t>
      </w:r>
      <w:r w:rsidR="00D673F8">
        <w:t>-sized</w:t>
      </w:r>
      <w:r w:rsidR="00095E24">
        <w:t xml:space="preserve"> companies</w:t>
      </w:r>
      <w:r w:rsidR="0094495A">
        <w:t xml:space="preserve"> – with </w:t>
      </w:r>
      <w:r w:rsidR="00E06408">
        <w:t>the prospect of</w:t>
      </w:r>
      <w:r w:rsidR="0094495A">
        <w:t xml:space="preserve"> expand</w:t>
      </w:r>
      <w:r w:rsidR="00E06408">
        <w:t>ing</w:t>
      </w:r>
      <w:r w:rsidR="0094495A">
        <w:t xml:space="preserve"> the NCT over time to fund broader “reductions in company income tax”</w:t>
      </w:r>
      <w:r w:rsidR="00914A58">
        <w:t>; and</w:t>
      </w:r>
    </w:p>
    <w:p w14:paraId="07F58053" w14:textId="77777777" w:rsidR="00DE1DD4" w:rsidRDefault="00DE1DD4" w:rsidP="00914A58">
      <w:pPr>
        <w:pStyle w:val="ListParagraph"/>
        <w:numPr>
          <w:ilvl w:val="0"/>
          <w:numId w:val="11"/>
        </w:numPr>
      </w:pPr>
      <w:r>
        <w:t xml:space="preserve">considers that this change </w:t>
      </w:r>
      <w:r w:rsidR="000926C9">
        <w:t xml:space="preserve">represents “the optimal approach to company tax” and </w:t>
      </w:r>
      <w:r w:rsidR="00C825E0">
        <w:t xml:space="preserve">corporate tax reform </w:t>
      </w:r>
      <w:r w:rsidR="000926C9">
        <w:t>is</w:t>
      </w:r>
      <w:r>
        <w:t xml:space="preserve"> </w:t>
      </w:r>
      <w:r w:rsidR="00C825E0">
        <w:t>one of the</w:t>
      </w:r>
      <w:r>
        <w:t xml:space="preserve"> “biggest lever</w:t>
      </w:r>
      <w:r w:rsidR="00C825E0">
        <w:t>s”</w:t>
      </w:r>
      <w:r>
        <w:t xml:space="preserve"> for increasing investment and thereby productivity.</w:t>
      </w:r>
    </w:p>
    <w:p w14:paraId="07F58054" w14:textId="77777777" w:rsidR="00914A58" w:rsidRPr="00914A58" w:rsidRDefault="00914A58">
      <w:pPr>
        <w:rPr>
          <w:b/>
        </w:rPr>
      </w:pPr>
      <w:r w:rsidRPr="00914A58">
        <w:rPr>
          <w:b/>
        </w:rPr>
        <w:t>Effects of the proposals</w:t>
      </w:r>
    </w:p>
    <w:p w14:paraId="07F58055" w14:textId="77777777" w:rsidR="00914A58" w:rsidRDefault="00914A58">
      <w:r>
        <w:t>In relation to the NCT itself:</w:t>
      </w:r>
    </w:p>
    <w:p w14:paraId="07F58056" w14:textId="77777777" w:rsidR="00914A58" w:rsidRDefault="00CF3D93" w:rsidP="00F96380">
      <w:pPr>
        <w:pStyle w:val="ListParagraph"/>
        <w:numPr>
          <w:ilvl w:val="0"/>
          <w:numId w:val="12"/>
        </w:numPr>
      </w:pPr>
      <w:r>
        <w:t xml:space="preserve">the NCT </w:t>
      </w:r>
      <w:r w:rsidR="004C6AD4">
        <w:t xml:space="preserve">on its own would likely </w:t>
      </w:r>
      <w:r>
        <w:t xml:space="preserve">have minimal impact on pre-tax investment decisions; </w:t>
      </w:r>
      <w:r w:rsidR="00914A58">
        <w:t xml:space="preserve"> </w:t>
      </w:r>
    </w:p>
    <w:p w14:paraId="07F58057" w14:textId="77777777" w:rsidR="00CF3D93" w:rsidRDefault="00CF3D93" w:rsidP="00F96380">
      <w:pPr>
        <w:pStyle w:val="ListParagraph"/>
        <w:numPr>
          <w:ilvl w:val="0"/>
          <w:numId w:val="12"/>
        </w:numPr>
      </w:pPr>
      <w:r>
        <w:t>many small companies would be unlikely to be profitable enough to pay any NCT, though still being subject to NCT administration/compliance requirements;</w:t>
      </w:r>
    </w:p>
    <w:p w14:paraId="07F58058" w14:textId="77777777" w:rsidR="00E22039" w:rsidRDefault="00914A58" w:rsidP="00F96380">
      <w:pPr>
        <w:pStyle w:val="ListParagraph"/>
        <w:numPr>
          <w:ilvl w:val="0"/>
          <w:numId w:val="12"/>
        </w:numPr>
      </w:pPr>
      <w:r>
        <w:t>a</w:t>
      </w:r>
      <w:r w:rsidR="00472A95">
        <w:t>t the other extreme, for large companies</w:t>
      </w:r>
      <w:r w:rsidR="00DE1DD4">
        <w:t xml:space="preserve">, the NCT </w:t>
      </w:r>
      <w:r w:rsidR="0094495A">
        <w:t>c</w:t>
      </w:r>
      <w:r w:rsidR="00DE1DD4">
        <w:t>ould operate</w:t>
      </w:r>
      <w:r w:rsidR="0094495A">
        <w:t xml:space="preserve"> very much</w:t>
      </w:r>
      <w:r w:rsidR="00DE1DD4">
        <w:t xml:space="preserve"> like a ‘pure’ cash flow tax </w:t>
      </w:r>
      <w:r w:rsidR="00764B9A">
        <w:t>with</w:t>
      </w:r>
      <w:r w:rsidR="00DE1DD4">
        <w:t xml:space="preserve"> </w:t>
      </w:r>
      <w:r w:rsidR="00CF3D93">
        <w:t xml:space="preserve">NCT paid on </w:t>
      </w:r>
      <w:r w:rsidR="00DE1DD4">
        <w:t xml:space="preserve">their </w:t>
      </w:r>
      <w:r w:rsidR="00CF3D93">
        <w:t xml:space="preserve">usual </w:t>
      </w:r>
      <w:r w:rsidR="0094495A">
        <w:t xml:space="preserve">positive (non-financial) </w:t>
      </w:r>
      <w:r w:rsidR="00DE1DD4">
        <w:t>annual cash flows</w:t>
      </w:r>
      <w:r w:rsidR="00E22039">
        <w:t>;</w:t>
      </w:r>
    </w:p>
    <w:p w14:paraId="07F58059" w14:textId="77777777" w:rsidR="00783971" w:rsidRDefault="00E22039" w:rsidP="00F96380">
      <w:pPr>
        <w:pStyle w:val="ListParagraph"/>
        <w:numPr>
          <w:ilvl w:val="0"/>
          <w:numId w:val="12"/>
        </w:numPr>
      </w:pPr>
      <w:r>
        <w:t>d</w:t>
      </w:r>
      <w:r w:rsidR="00DE1DD4">
        <w:t xml:space="preserve">espite </w:t>
      </w:r>
      <w:r>
        <w:t>such differences</w:t>
      </w:r>
      <w:r w:rsidR="00DE1DD4">
        <w:t xml:space="preserve">, </w:t>
      </w:r>
      <w:r>
        <w:t xml:space="preserve">all companies </w:t>
      </w:r>
      <w:r w:rsidR="00764B9A">
        <w:t xml:space="preserve">operating when the NCT is first introduced </w:t>
      </w:r>
      <w:r>
        <w:t>would require an</w:t>
      </w:r>
      <w:r w:rsidR="00DE1DD4">
        <w:t xml:space="preserve"> up-front </w:t>
      </w:r>
      <w:r w:rsidR="00E06408">
        <w:t xml:space="preserve">NCT “starting balance” </w:t>
      </w:r>
      <w:r>
        <w:t>deduction</w:t>
      </w:r>
      <w:r w:rsidR="00BF00E2">
        <w:t xml:space="preserve"> – matching current market value</w:t>
      </w:r>
      <w:r w:rsidR="00764B9A">
        <w:t xml:space="preserve"> of </w:t>
      </w:r>
      <w:r w:rsidR="00CF3D93">
        <w:t xml:space="preserve">their </w:t>
      </w:r>
      <w:r w:rsidR="00764B9A">
        <w:t>future non-financial flows</w:t>
      </w:r>
      <w:r w:rsidR="00E06408">
        <w:t>. That deduction, while</w:t>
      </w:r>
      <w:r w:rsidR="00BF00E2">
        <w:t xml:space="preserve"> </w:t>
      </w:r>
      <w:r w:rsidR="008F7B6F">
        <w:t xml:space="preserve">reducing NCT </w:t>
      </w:r>
      <w:r w:rsidR="009A2CD8">
        <w:t>revenue</w:t>
      </w:r>
      <w:r w:rsidR="00E06408">
        <w:t>, would</w:t>
      </w:r>
      <w:r w:rsidR="00BF00E2">
        <w:t xml:space="preserve"> </w:t>
      </w:r>
      <w:r w:rsidR="00DE1DD4">
        <w:t>offset what would otherwise be a</w:t>
      </w:r>
      <w:r w:rsidR="00095E24">
        <w:t xml:space="preserve"> </w:t>
      </w:r>
      <w:r w:rsidR="002F0743">
        <w:t xml:space="preserve">5% capital levy </w:t>
      </w:r>
      <w:r w:rsidR="00A4037C">
        <w:t xml:space="preserve">imposed </w:t>
      </w:r>
      <w:r w:rsidR="002F0743">
        <w:t xml:space="preserve">on </w:t>
      </w:r>
      <w:r>
        <w:t>the</w:t>
      </w:r>
      <w:r w:rsidR="00E06408">
        <w:t>se existing companies</w:t>
      </w:r>
      <w:r>
        <w:t xml:space="preserve"> (</w:t>
      </w:r>
      <w:r w:rsidR="00DB4A32">
        <w:t>with</w:t>
      </w:r>
      <w:r>
        <w:t xml:space="preserve"> </w:t>
      </w:r>
      <w:r w:rsidR="008F7B6F">
        <w:t xml:space="preserve">even the least profitable otherwise paying </w:t>
      </w:r>
      <w:r w:rsidR="00DB4A32">
        <w:t xml:space="preserve">NCT on </w:t>
      </w:r>
      <w:r>
        <w:t xml:space="preserve">up-front positive </w:t>
      </w:r>
      <w:r w:rsidR="00764B9A">
        <w:t xml:space="preserve">non-financial </w:t>
      </w:r>
      <w:r>
        <w:t>cash flow</w:t>
      </w:r>
      <w:r w:rsidR="00DB4A32">
        <w:t xml:space="preserve">). </w:t>
      </w:r>
      <w:r>
        <w:t xml:space="preserve">  </w:t>
      </w:r>
      <w:r w:rsidR="002F0743">
        <w:t xml:space="preserve"> </w:t>
      </w:r>
    </w:p>
    <w:p w14:paraId="07F5805A" w14:textId="77777777" w:rsidR="00914A58" w:rsidRDefault="00914A58">
      <w:r>
        <w:t>In relation to the proposed combination of NCT and company income tax:</w:t>
      </w:r>
    </w:p>
    <w:p w14:paraId="07F5805B" w14:textId="77777777" w:rsidR="00F96380" w:rsidRDefault="007967CA" w:rsidP="00BF00E2">
      <w:pPr>
        <w:pStyle w:val="ListParagraph"/>
        <w:numPr>
          <w:ilvl w:val="0"/>
          <w:numId w:val="13"/>
        </w:numPr>
      </w:pPr>
      <w:r>
        <w:t>the</w:t>
      </w:r>
      <w:r w:rsidR="0024585A">
        <w:t xml:space="preserve"> tax-neutral outcome </w:t>
      </w:r>
      <w:r>
        <w:t xml:space="preserve">of the NCT in isolation </w:t>
      </w:r>
      <w:r w:rsidR="0024585A">
        <w:t>is not maintained when the NCT is simply added</w:t>
      </w:r>
      <w:r w:rsidR="00DB4A32">
        <w:t xml:space="preserve"> to company income tax</w:t>
      </w:r>
      <w:r w:rsidR="00BF00E2">
        <w:t xml:space="preserve">ation – </w:t>
      </w:r>
      <w:r w:rsidR="00EB6802">
        <w:t>without blending</w:t>
      </w:r>
      <w:r w:rsidR="00BF00E2">
        <w:t xml:space="preserve"> NCT </w:t>
      </w:r>
      <w:r w:rsidR="00EB6802">
        <w:t>and income tax</w:t>
      </w:r>
      <w:r w:rsidR="00BF00E2">
        <w:t xml:space="preserve"> </w:t>
      </w:r>
      <w:r w:rsidR="00EB6802">
        <w:t xml:space="preserve">in a way that recognises the effect NCT has on company </w:t>
      </w:r>
      <w:r w:rsidR="00057AAE">
        <w:t xml:space="preserve">cash flow and </w:t>
      </w:r>
      <w:r w:rsidR="00EB6802">
        <w:t>value</w:t>
      </w:r>
      <w:r>
        <w:t>;</w:t>
      </w:r>
    </w:p>
    <w:p w14:paraId="07F5805C" w14:textId="77777777" w:rsidR="007967CA" w:rsidRDefault="007967CA" w:rsidP="00BF00E2">
      <w:pPr>
        <w:pStyle w:val="ListParagraph"/>
        <w:numPr>
          <w:ilvl w:val="0"/>
          <w:numId w:val="13"/>
        </w:numPr>
      </w:pPr>
      <w:r>
        <w:lastRenderedPageBreak/>
        <w:t>that is particularly relevant to large, profitable companies whose income tax rate is not to be reduced;</w:t>
      </w:r>
    </w:p>
    <w:p w14:paraId="07F5805D" w14:textId="77777777" w:rsidR="007967CA" w:rsidRDefault="007967CA" w:rsidP="00BF00E2">
      <w:pPr>
        <w:pStyle w:val="ListParagraph"/>
        <w:numPr>
          <w:ilvl w:val="0"/>
          <w:numId w:val="13"/>
        </w:numPr>
      </w:pPr>
      <w:r>
        <w:t>for small, marginally profitable companies</w:t>
      </w:r>
      <w:r w:rsidR="00AF4CBD">
        <w:t>,</w:t>
      </w:r>
      <w:r>
        <w:t xml:space="preserve"> the proposal to allow them to write off NCT losses against income tax profits or liabilities would hollow out their income tax payments. </w:t>
      </w:r>
    </w:p>
    <w:p w14:paraId="07F5805E" w14:textId="77777777" w:rsidR="00F96380" w:rsidRPr="00F96380" w:rsidRDefault="00BF00E2">
      <w:pPr>
        <w:rPr>
          <w:b/>
        </w:rPr>
      </w:pPr>
      <w:r>
        <w:rPr>
          <w:b/>
        </w:rPr>
        <w:t>S</w:t>
      </w:r>
      <w:r w:rsidR="00F96380" w:rsidRPr="00F96380">
        <w:rPr>
          <w:b/>
        </w:rPr>
        <w:t xml:space="preserve">hortcomings of </w:t>
      </w:r>
      <w:r w:rsidR="009A2CD8">
        <w:rPr>
          <w:b/>
        </w:rPr>
        <w:t xml:space="preserve">framework underlying </w:t>
      </w:r>
      <w:r w:rsidR="00F96380" w:rsidRPr="00F96380">
        <w:rPr>
          <w:b/>
        </w:rPr>
        <w:t>the proposals</w:t>
      </w:r>
    </w:p>
    <w:p w14:paraId="07F5805F" w14:textId="77777777" w:rsidR="00803287" w:rsidRDefault="00F96380">
      <w:r>
        <w:t xml:space="preserve">The report </w:t>
      </w:r>
      <w:r w:rsidR="006163F0">
        <w:t xml:space="preserve">does not acknowledge </w:t>
      </w:r>
      <w:r w:rsidR="00783971">
        <w:t xml:space="preserve">the </w:t>
      </w:r>
      <w:r w:rsidR="00C041F8">
        <w:t>investment-neutrality properties of income taxation.</w:t>
      </w:r>
      <w:r w:rsidR="00F93562">
        <w:t xml:space="preserve"> </w:t>
      </w:r>
      <w:r w:rsidR="001273D4">
        <w:t>This lack of recognition</w:t>
      </w:r>
      <w:r w:rsidR="00803287">
        <w:t>:</w:t>
      </w:r>
    </w:p>
    <w:p w14:paraId="07F58060" w14:textId="77777777" w:rsidR="00803287" w:rsidRDefault="006163F0" w:rsidP="00803287">
      <w:pPr>
        <w:pStyle w:val="ListParagraph"/>
        <w:numPr>
          <w:ilvl w:val="0"/>
          <w:numId w:val="14"/>
        </w:numPr>
      </w:pPr>
      <w:r>
        <w:t xml:space="preserve">means the report appears to be unaware of the non-neutral way it proposes that the NCT </w:t>
      </w:r>
      <w:r w:rsidR="007967CA">
        <w:t>be</w:t>
      </w:r>
      <w:r w:rsidR="00AF4CBD">
        <w:t xml:space="preserve"> imposed in addition </w:t>
      </w:r>
      <w:r w:rsidR="007967CA">
        <w:t>to</w:t>
      </w:r>
      <w:r>
        <w:t xml:space="preserve"> </w:t>
      </w:r>
      <w:r w:rsidR="00057AAE">
        <w:t xml:space="preserve">unchanged </w:t>
      </w:r>
      <w:r>
        <w:t>company income tax</w:t>
      </w:r>
      <w:r w:rsidR="00AF4CBD">
        <w:t>ation</w:t>
      </w:r>
      <w:r w:rsidR="00803287">
        <w:t>; and</w:t>
      </w:r>
    </w:p>
    <w:p w14:paraId="07F58061" w14:textId="77777777" w:rsidR="008D1F03" w:rsidRDefault="001273D4" w:rsidP="00803287">
      <w:pPr>
        <w:pStyle w:val="ListParagraph"/>
        <w:numPr>
          <w:ilvl w:val="0"/>
          <w:numId w:val="14"/>
        </w:numPr>
      </w:pPr>
      <w:r>
        <w:t>leads to the report’s assumption that investors’ required investment returns after income</w:t>
      </w:r>
      <w:r w:rsidR="00BF00E2">
        <w:t xml:space="preserve"> tax</w:t>
      </w:r>
      <w:r>
        <w:t xml:space="preserve"> </w:t>
      </w:r>
      <w:r w:rsidR="00BF00E2">
        <w:t>need to</w:t>
      </w:r>
      <w:r>
        <w:t xml:space="preserve"> match their required returns before tax</w:t>
      </w:r>
      <w:r w:rsidR="00BF00E2">
        <w:t xml:space="preserve"> in order not to distort investment decisions</w:t>
      </w:r>
      <w:r w:rsidR="00803287">
        <w:t>. Th</w:t>
      </w:r>
      <w:r>
        <w:t>at assumption, in turn, raises questions over the way the report</w:t>
      </w:r>
      <w:r w:rsidR="00CF3D9F">
        <w:t xml:space="preserve"> uses </w:t>
      </w:r>
      <w:r w:rsidR="00F93562">
        <w:t>rate of return analyses</w:t>
      </w:r>
      <w:r w:rsidR="00CF3D9F">
        <w:t xml:space="preserve"> to support its proposed new system </w:t>
      </w:r>
      <w:r w:rsidR="008D1F03">
        <w:t xml:space="preserve">and </w:t>
      </w:r>
      <w:r w:rsidR="00CF3D9F">
        <w:t xml:space="preserve">perhaps </w:t>
      </w:r>
      <w:r w:rsidR="008D1F03">
        <w:t xml:space="preserve">even </w:t>
      </w:r>
      <w:r w:rsidR="00CF3D9F">
        <w:t>its</w:t>
      </w:r>
      <w:r w:rsidR="008D1F03">
        <w:t xml:space="preserve"> general equilibrium modelling. </w:t>
      </w:r>
    </w:p>
    <w:p w14:paraId="07F58062" w14:textId="77777777" w:rsidR="00803287" w:rsidRPr="00803287" w:rsidRDefault="00803287">
      <w:pPr>
        <w:rPr>
          <w:b/>
        </w:rPr>
      </w:pPr>
      <w:r w:rsidRPr="00803287">
        <w:rPr>
          <w:b/>
        </w:rPr>
        <w:t>Alternative design</w:t>
      </w:r>
    </w:p>
    <w:p w14:paraId="07F58063" w14:textId="77777777" w:rsidR="00592071" w:rsidRDefault="00E660E9">
      <w:r>
        <w:t xml:space="preserve">The interim report restricts its proposals for tax reform to the structure of corporate taxation. </w:t>
      </w:r>
      <w:r w:rsidR="00E6538B">
        <w:t>Taking a</w:t>
      </w:r>
      <w:r w:rsidR="00AF4CBD">
        <w:t xml:space="preserve"> somewhat</w:t>
      </w:r>
      <w:r w:rsidR="00E6538B">
        <w:t xml:space="preserve"> broader view</w:t>
      </w:r>
      <w:r>
        <w:t>,</w:t>
      </w:r>
      <w:r w:rsidR="00592071">
        <w:t xml:space="preserve"> the commission may wish to consider</w:t>
      </w:r>
      <w:r w:rsidR="007F6272">
        <w:t xml:space="preserve"> alternative design </w:t>
      </w:r>
      <w:r w:rsidR="009A2CD8">
        <w:t xml:space="preserve">that </w:t>
      </w:r>
      <w:r w:rsidR="007F6272">
        <w:t>has annual company taxable income always integrated with shareholders’ personal tax assessments</w:t>
      </w:r>
      <w:r w:rsidR="00E06408">
        <w:t xml:space="preserve"> even when retained for investment</w:t>
      </w:r>
      <w:r w:rsidR="007F6272">
        <w:t xml:space="preserve">. </w:t>
      </w:r>
      <w:r w:rsidR="000F72BC">
        <w:t>This</w:t>
      </w:r>
      <w:r w:rsidR="007F6272">
        <w:t xml:space="preserve"> integration</w:t>
      </w:r>
      <w:r w:rsidR="000F72BC">
        <w:t xml:space="preserve"> design which upgrades our full imputation system</w:t>
      </w:r>
      <w:r w:rsidR="00AF4CBD">
        <w:t xml:space="preserve"> would</w:t>
      </w:r>
      <w:r w:rsidR="00592071">
        <w:t>:</w:t>
      </w:r>
    </w:p>
    <w:p w14:paraId="07F58064" w14:textId="77777777" w:rsidR="00592071" w:rsidRDefault="007F6272" w:rsidP="00592071">
      <w:pPr>
        <w:pStyle w:val="ListParagraph"/>
        <w:numPr>
          <w:ilvl w:val="0"/>
          <w:numId w:val="15"/>
        </w:numPr>
      </w:pPr>
      <w:r>
        <w:t>blend holistically with our income tax system and reduce biases that militate against investment activity going to where it is most productive</w:t>
      </w:r>
      <w:r w:rsidR="00592071">
        <w:t>; and</w:t>
      </w:r>
    </w:p>
    <w:p w14:paraId="07F58065" w14:textId="77777777" w:rsidR="007F6272" w:rsidRDefault="00592071" w:rsidP="00592071">
      <w:pPr>
        <w:pStyle w:val="ListParagraph"/>
        <w:numPr>
          <w:ilvl w:val="0"/>
          <w:numId w:val="15"/>
        </w:numPr>
      </w:pPr>
      <w:r>
        <w:t>raise tax revenue to fund reductions in the</w:t>
      </w:r>
      <w:r w:rsidR="007F6272">
        <w:t xml:space="preserve"> associated single </w:t>
      </w:r>
      <w:r>
        <w:t>company</w:t>
      </w:r>
      <w:r w:rsidR="007F6272">
        <w:t xml:space="preserve"> tax rate </w:t>
      </w:r>
      <w:r>
        <w:t xml:space="preserve">that would then be </w:t>
      </w:r>
      <w:r w:rsidR="007F6272">
        <w:t>set on the basis of how much to tax the inwards foreign equity investor.</w:t>
      </w:r>
    </w:p>
    <w:p w14:paraId="07F58066" w14:textId="77777777" w:rsidR="00AB415B" w:rsidRDefault="007F6272">
      <w:r>
        <w:t>P</w:t>
      </w:r>
      <w:r w:rsidR="00C041F8">
        <w:t>ast broad tax</w:t>
      </w:r>
      <w:r w:rsidR="00AF4CBD">
        <w:t>/financial</w:t>
      </w:r>
      <w:r w:rsidR="00C041F8">
        <w:t xml:space="preserve"> reviews both here and overseas have viewed </w:t>
      </w:r>
      <w:r>
        <w:t>th</w:t>
      </w:r>
      <w:r w:rsidR="00DE253A">
        <w:t>is</w:t>
      </w:r>
      <w:r>
        <w:t xml:space="preserve"> alternative </w:t>
      </w:r>
      <w:r w:rsidR="0060585C">
        <w:t>as the theoretically ideal corporate tax design</w:t>
      </w:r>
      <w:r w:rsidR="000F72BC">
        <w:t>,</w:t>
      </w:r>
      <w:r>
        <w:t xml:space="preserve"> though pointing to practical design issues that need to be resolved</w:t>
      </w:r>
      <w:r w:rsidR="0060585C">
        <w:t>.</w:t>
      </w:r>
      <w:r>
        <w:t xml:space="preserve"> </w:t>
      </w:r>
      <w:r w:rsidR="000F72BC">
        <w:t>Recent local publications aimed at resolving those issues and provisions of similar design that apply here to some trusts, as well as our robust imputation system and general capital gains tax regime, mean that Australia is uniquely placed to consider upgrading imputation to integration.</w:t>
      </w:r>
      <w:r>
        <w:t xml:space="preserve">  </w:t>
      </w:r>
    </w:p>
    <w:p w14:paraId="07F58067" w14:textId="77777777" w:rsidR="00EB22E8" w:rsidRPr="00AB415B" w:rsidRDefault="00AB415B">
      <w:pPr>
        <w:rPr>
          <w:b/>
        </w:rPr>
      </w:pPr>
      <w:r w:rsidRPr="00AB415B">
        <w:rPr>
          <w:b/>
        </w:rPr>
        <w:t>Conclusion</w:t>
      </w:r>
      <w:r w:rsidR="007F6272" w:rsidRPr="00AB415B">
        <w:rPr>
          <w:b/>
        </w:rPr>
        <w:t xml:space="preserve"> </w:t>
      </w:r>
      <w:r w:rsidR="0060585C" w:rsidRPr="00AB415B">
        <w:rPr>
          <w:b/>
        </w:rPr>
        <w:t xml:space="preserve"> </w:t>
      </w:r>
    </w:p>
    <w:p w14:paraId="07F58068" w14:textId="77777777" w:rsidR="007C3B7A" w:rsidRDefault="00AB415B">
      <w:r>
        <w:t xml:space="preserve">The commission may wish to consider recommending that both its ultimate redesign of corporate taxation and the alternative </w:t>
      </w:r>
      <w:r w:rsidR="007C3B7A">
        <w:t xml:space="preserve">of </w:t>
      </w:r>
      <w:r>
        <w:t xml:space="preserve">upgrading of imputation to integration be subjected to Treasury’s integrated tax design process. That process brings together policy advisers, tax administrators and legislative drafters early on in redesign development. </w:t>
      </w:r>
    </w:p>
    <w:p w14:paraId="07F58069" w14:textId="77777777" w:rsidR="00DE253A" w:rsidRDefault="00B10A62" w:rsidP="00E6538B">
      <w:r>
        <w:t>Yours faithfully</w:t>
      </w:r>
    </w:p>
    <w:p w14:paraId="07F5806A" w14:textId="77777777" w:rsidR="00A458CC" w:rsidRDefault="00A458CC" w:rsidP="00B10A62">
      <w:pPr>
        <w:spacing w:after="0"/>
      </w:pPr>
    </w:p>
    <w:p w14:paraId="07F5806B" w14:textId="77777777" w:rsidR="00B10A62" w:rsidRDefault="00B10A62" w:rsidP="00B10A62">
      <w:pPr>
        <w:spacing w:after="0"/>
      </w:pPr>
      <w:r>
        <w:t>Wayne Mayo</w:t>
      </w:r>
    </w:p>
    <w:p w14:paraId="07F5806C" w14:textId="77777777" w:rsidR="005813F0" w:rsidRDefault="00B10A62" w:rsidP="00B10A62">
      <w:pPr>
        <w:spacing w:after="0"/>
      </w:pPr>
      <w:r>
        <w:t xml:space="preserve">Tax Economist </w:t>
      </w:r>
      <w:r w:rsidR="005813F0">
        <w:br w:type="page"/>
      </w:r>
    </w:p>
    <w:p w14:paraId="07F5806D" w14:textId="77777777" w:rsidR="005813F0" w:rsidRDefault="005813F0" w:rsidP="000F3F2B">
      <w:pPr>
        <w:spacing w:after="0"/>
        <w:jc w:val="center"/>
        <w:rPr>
          <w:b/>
        </w:rPr>
      </w:pPr>
      <w:r>
        <w:rPr>
          <w:b/>
        </w:rPr>
        <w:lastRenderedPageBreak/>
        <w:t>PC INTERIM REPORT: CREATING A MORE DYNAMIC AND RESILIENT ECONOMY</w:t>
      </w:r>
    </w:p>
    <w:p w14:paraId="07F5806E" w14:textId="77777777" w:rsidR="000F3F2B" w:rsidRDefault="005813F0" w:rsidP="000F3F2B">
      <w:pPr>
        <w:spacing w:after="0"/>
        <w:jc w:val="center"/>
        <w:rPr>
          <w:b/>
        </w:rPr>
      </w:pPr>
      <w:r>
        <w:rPr>
          <w:b/>
        </w:rPr>
        <w:t>CORPORATE TAX REFORM TO SPUR BUSINESS INVESTMENT</w:t>
      </w:r>
    </w:p>
    <w:p w14:paraId="07F5806F" w14:textId="77777777" w:rsidR="000F3F2B" w:rsidRPr="00783971" w:rsidRDefault="000F3F2B" w:rsidP="000F3F2B">
      <w:pPr>
        <w:spacing w:after="0"/>
        <w:jc w:val="center"/>
      </w:pPr>
    </w:p>
    <w:p w14:paraId="07F58070" w14:textId="77777777" w:rsidR="00012BE6" w:rsidRPr="00AC7CA4" w:rsidRDefault="00012E6C">
      <w:pPr>
        <w:rPr>
          <w:b/>
        </w:rPr>
      </w:pPr>
      <w:r>
        <w:rPr>
          <w:b/>
        </w:rPr>
        <w:t>INTERIM REPORT’S APPROACH</w:t>
      </w:r>
    </w:p>
    <w:p w14:paraId="07F58071" w14:textId="77777777" w:rsidR="00344BBD" w:rsidRDefault="00012E6C">
      <w:r>
        <w:t>As reflected in the title</w:t>
      </w:r>
      <w:r w:rsidR="00D77AF2">
        <w:t xml:space="preserve"> of its</w:t>
      </w:r>
      <w:r>
        <w:t xml:space="preserve"> tax component</w:t>
      </w:r>
      <w:r w:rsidR="00D77AF2">
        <w:t>, the interim report</w:t>
      </w:r>
      <w:r w:rsidR="00DC0513">
        <w:t xml:space="preserve"> </w:t>
      </w:r>
      <w:r w:rsidR="00D77AF2">
        <w:t>sees</w:t>
      </w:r>
      <w:r w:rsidR="00AF4EB5">
        <w:t>:</w:t>
      </w:r>
      <w:r w:rsidR="00D77AF2">
        <w:t xml:space="preserve"> </w:t>
      </w:r>
      <w:r w:rsidR="00DC0513">
        <w:t>increased</w:t>
      </w:r>
      <w:r w:rsidR="00D77AF2">
        <w:t xml:space="preserve"> investment as </w:t>
      </w:r>
      <w:r w:rsidR="00DC0513">
        <w:t>crucial to</w:t>
      </w:r>
      <w:r w:rsidR="00D77AF2">
        <w:t xml:space="preserve"> improv</w:t>
      </w:r>
      <w:r w:rsidR="00DC0513">
        <w:t>ing</w:t>
      </w:r>
      <w:r w:rsidR="00D77AF2">
        <w:t xml:space="preserve"> our productivity; and, the corporate tax system as </w:t>
      </w:r>
      <w:r w:rsidR="00AF4EB5">
        <w:t>one of the</w:t>
      </w:r>
      <w:r w:rsidR="00D77AF2">
        <w:t xml:space="preserve"> </w:t>
      </w:r>
      <w:r w:rsidR="00AF4EB5">
        <w:t>“</w:t>
      </w:r>
      <w:r w:rsidR="00D77AF2">
        <w:t xml:space="preserve">biggest </w:t>
      </w:r>
      <w:r w:rsidR="00AF4EB5">
        <w:t>l</w:t>
      </w:r>
      <w:r w:rsidR="00D77AF2">
        <w:t>ever</w:t>
      </w:r>
      <w:r w:rsidR="00AF4EB5">
        <w:t>s</w:t>
      </w:r>
      <w:r w:rsidR="00D77AF2">
        <w:t xml:space="preserve"> to encourage investment and productivity</w:t>
      </w:r>
      <w:r w:rsidR="00AF4EB5">
        <w:t>” (p 1)</w:t>
      </w:r>
      <w:r w:rsidR="00D77AF2">
        <w:t>.</w:t>
      </w:r>
    </w:p>
    <w:p w14:paraId="07F58072" w14:textId="77777777" w:rsidR="00724A0B" w:rsidRDefault="00344BBD">
      <w:r>
        <w:t xml:space="preserve">The interim report argues </w:t>
      </w:r>
      <w:r w:rsidR="00802307">
        <w:t xml:space="preserve">that </w:t>
      </w:r>
      <w:r>
        <w:t>our current corporate</w:t>
      </w:r>
      <w:r w:rsidR="00CB40BC">
        <w:t xml:space="preserve"> tax regime </w:t>
      </w:r>
      <w:r>
        <w:t xml:space="preserve"> </w:t>
      </w:r>
      <w:r w:rsidR="00724A0B">
        <w:t>distorts investment and restricts investment</w:t>
      </w:r>
      <w:r>
        <w:t xml:space="preserve"> and productivity because</w:t>
      </w:r>
      <w:r w:rsidR="005742FA">
        <w:t xml:space="preserve"> of</w:t>
      </w:r>
      <w:r>
        <w:t>, for example: the</w:t>
      </w:r>
      <w:r w:rsidR="00CB40BC">
        <w:t xml:space="preserve"> dampening effect of</w:t>
      </w:r>
      <w:r>
        <w:t xml:space="preserve"> high statutory </w:t>
      </w:r>
      <w:r w:rsidR="00CB40BC">
        <w:t xml:space="preserve">company tax </w:t>
      </w:r>
      <w:r>
        <w:t>rate</w:t>
      </w:r>
      <w:r w:rsidR="00DC0513">
        <w:t>s</w:t>
      </w:r>
      <w:r>
        <w:t xml:space="preserve"> on </w:t>
      </w:r>
      <w:r w:rsidR="002B1A06">
        <w:t xml:space="preserve">inwards </w:t>
      </w:r>
      <w:r>
        <w:t xml:space="preserve">international investment; </w:t>
      </w:r>
      <w:r w:rsidR="00CB40BC">
        <w:t>the regime’s</w:t>
      </w:r>
      <w:r>
        <w:t xml:space="preserve"> taxing of both normal and above normal profits; </w:t>
      </w:r>
      <w:r w:rsidR="005742FA">
        <w:t xml:space="preserve">and, </w:t>
      </w:r>
      <w:r>
        <w:t>companies not being able to deduct capital expenditure</w:t>
      </w:r>
      <w:r w:rsidR="005742FA">
        <w:t>s</w:t>
      </w:r>
      <w:r w:rsidR="002B1A06">
        <w:t xml:space="preserve"> immediately</w:t>
      </w:r>
      <w:r w:rsidR="00CB40BC">
        <w:t xml:space="preserve"> (while </w:t>
      </w:r>
      <w:r w:rsidR="00DC0513">
        <w:t xml:space="preserve">also </w:t>
      </w:r>
      <w:r w:rsidR="00CB40BC">
        <w:t>noting</w:t>
      </w:r>
      <w:r w:rsidR="00724A0B">
        <w:t xml:space="preserve"> that, </w:t>
      </w:r>
      <w:r w:rsidR="00DC0513">
        <w:t>with</w:t>
      </w:r>
      <w:r w:rsidR="00724A0B">
        <w:t xml:space="preserve"> </w:t>
      </w:r>
      <w:r w:rsidR="005742FA">
        <w:t>interest</w:t>
      </w:r>
      <w:r w:rsidR="00724A0B">
        <w:t xml:space="preserve"> deductibility </w:t>
      </w:r>
      <w:r w:rsidR="005742FA">
        <w:t xml:space="preserve">also </w:t>
      </w:r>
      <w:r w:rsidR="00724A0B">
        <w:t>allowed,</w:t>
      </w:r>
      <w:r w:rsidR="00CB40BC">
        <w:t xml:space="preserve"> </w:t>
      </w:r>
      <w:r w:rsidR="005742FA">
        <w:t>immediate write-off would result in</w:t>
      </w:r>
      <w:r w:rsidR="00CB40BC">
        <w:t xml:space="preserve"> large tax revenue </w:t>
      </w:r>
      <w:r w:rsidR="005742FA">
        <w:t>losses</w:t>
      </w:r>
      <w:r w:rsidR="00CB40BC">
        <w:t xml:space="preserve"> and subsidies to business investment</w:t>
      </w:r>
      <w:r w:rsidR="00724A0B">
        <w:t>)</w:t>
      </w:r>
      <w:r>
        <w:t>.</w:t>
      </w:r>
    </w:p>
    <w:p w14:paraId="07F58073" w14:textId="61268AB7" w:rsidR="00724A0B" w:rsidRDefault="00724A0B" w:rsidP="00724A0B">
      <w:r>
        <w:t xml:space="preserve">Consequently, the report </w:t>
      </w:r>
      <w:r w:rsidR="00B94906">
        <w:t>recommends m</w:t>
      </w:r>
      <w:r w:rsidRPr="00B94906">
        <w:t>ov</w:t>
      </w:r>
      <w:r w:rsidR="00B94906" w:rsidRPr="00B94906">
        <w:t>ing</w:t>
      </w:r>
      <w:r>
        <w:t xml:space="preserve"> </w:t>
      </w:r>
      <w:r w:rsidR="0083699E">
        <w:t>f</w:t>
      </w:r>
      <w:r>
        <w:t xml:space="preserve">rom </w:t>
      </w:r>
      <w:r w:rsidR="00B94906">
        <w:t xml:space="preserve">the </w:t>
      </w:r>
      <w:r>
        <w:t xml:space="preserve">current </w:t>
      </w:r>
      <w:r w:rsidRPr="00B94906">
        <w:t>corporate tax system</w:t>
      </w:r>
      <w:r>
        <w:t xml:space="preserve"> </w:t>
      </w:r>
      <w:r w:rsidR="008D4587">
        <w:t>by making</w:t>
      </w:r>
      <w:r>
        <w:t xml:space="preserve"> </w:t>
      </w:r>
      <w:r w:rsidR="0083699E">
        <w:t>the following</w:t>
      </w:r>
      <w:r w:rsidR="008D4587">
        <w:t xml:space="preserve"> changes</w:t>
      </w:r>
      <w:r w:rsidR="0083699E">
        <w:t>.</w:t>
      </w:r>
      <w:r w:rsidR="00B94906">
        <w:t xml:space="preserve"> </w:t>
      </w:r>
    </w:p>
    <w:p w14:paraId="07F58074" w14:textId="77777777" w:rsidR="00724A0B" w:rsidRDefault="00724A0B" w:rsidP="00724A0B">
      <w:pPr>
        <w:pStyle w:val="ListParagraph"/>
        <w:numPr>
          <w:ilvl w:val="0"/>
          <w:numId w:val="3"/>
        </w:numPr>
      </w:pPr>
      <w:r>
        <w:t>Lower the company tax rate to 20% for small to medium companies.</w:t>
      </w:r>
      <w:r w:rsidR="00540797">
        <w:t xml:space="preserve"> Large companies would continue to attract a 30 </w:t>
      </w:r>
      <w:r w:rsidR="005742FA">
        <w:t>%</w:t>
      </w:r>
      <w:r w:rsidR="00540797">
        <w:t xml:space="preserve"> tax rate.</w:t>
      </w:r>
    </w:p>
    <w:p w14:paraId="07F58075" w14:textId="77777777" w:rsidR="00724A0B" w:rsidRDefault="00724A0B" w:rsidP="00724A0B">
      <w:pPr>
        <w:pStyle w:val="ListParagraph"/>
        <w:numPr>
          <w:ilvl w:val="0"/>
          <w:numId w:val="3"/>
        </w:numPr>
      </w:pPr>
      <w:r>
        <w:t xml:space="preserve">Introduce a 5% </w:t>
      </w:r>
      <w:r w:rsidR="00802307">
        <w:t>“</w:t>
      </w:r>
      <w:r>
        <w:t>net cashflow tax</w:t>
      </w:r>
      <w:r w:rsidR="00802307">
        <w:t>”</w:t>
      </w:r>
      <w:r w:rsidR="0083699E">
        <w:t xml:space="preserve"> (NC</w:t>
      </w:r>
      <w:r w:rsidR="007F248C">
        <w:t>T</w:t>
      </w:r>
      <w:r w:rsidR="0083699E">
        <w:t>)</w:t>
      </w:r>
      <w:r>
        <w:t xml:space="preserve"> for all companies (</w:t>
      </w:r>
      <w:r w:rsidR="00802307">
        <w:t>“</w:t>
      </w:r>
      <w:r w:rsidRPr="0083699E">
        <w:t>rewarding</w:t>
      </w:r>
      <w:r>
        <w:t xml:space="preserve"> companies</w:t>
      </w:r>
      <w:r w:rsidR="00802307">
        <w:t>”</w:t>
      </w:r>
      <w:r>
        <w:t xml:space="preserve"> for</w:t>
      </w:r>
      <w:r w:rsidR="0083699E">
        <w:t xml:space="preserve">, and so be </w:t>
      </w:r>
      <w:r w:rsidR="00802307">
        <w:t>“</w:t>
      </w:r>
      <w:r w:rsidR="0083699E">
        <w:t>more encouraging</w:t>
      </w:r>
      <w:r w:rsidR="00802307">
        <w:t>”</w:t>
      </w:r>
      <w:r w:rsidR="0083699E">
        <w:t xml:space="preserve"> of,</w:t>
      </w:r>
      <w:r>
        <w:t xml:space="preserve"> capital expenditure </w:t>
      </w:r>
      <w:r w:rsidR="00802307">
        <w:t>because of</w:t>
      </w:r>
      <w:r>
        <w:t xml:space="preserve"> immediate write-off).</w:t>
      </w:r>
    </w:p>
    <w:p w14:paraId="07F58076" w14:textId="77777777" w:rsidR="00540797" w:rsidRDefault="0083699E" w:rsidP="00EB5E2D">
      <w:pPr>
        <w:pStyle w:val="ListParagraph"/>
        <w:numPr>
          <w:ilvl w:val="1"/>
          <w:numId w:val="3"/>
        </w:numPr>
      </w:pPr>
      <w:r>
        <w:t xml:space="preserve">Cash refunds would not be provided </w:t>
      </w:r>
      <w:r w:rsidR="005742FA">
        <w:t xml:space="preserve">by government </w:t>
      </w:r>
      <w:r>
        <w:t>for negative</w:t>
      </w:r>
      <w:r w:rsidR="002B1A06">
        <w:t xml:space="preserve"> NCT</w:t>
      </w:r>
      <w:r>
        <w:t xml:space="preserve"> cash flows (NC</w:t>
      </w:r>
      <w:r w:rsidR="00C170D8">
        <w:t>T</w:t>
      </w:r>
      <w:r>
        <w:t xml:space="preserve"> losses) – losses would, if necessary, be carried forward with interest (uplift) to be offset against </w:t>
      </w:r>
      <w:r w:rsidR="00540797">
        <w:t>“tax liabilities” (p 19) of NC</w:t>
      </w:r>
      <w:r w:rsidR="007F248C">
        <w:t>T</w:t>
      </w:r>
      <w:r w:rsidR="00540797">
        <w:t xml:space="preserve"> or company income tax – or, perhaps, company income tax</w:t>
      </w:r>
      <w:r w:rsidR="0066556A">
        <w:t xml:space="preserve"> “profits” (p 24)</w:t>
      </w:r>
      <w:r w:rsidR="00540797">
        <w:t>.</w:t>
      </w:r>
      <w:r w:rsidR="007D1792">
        <w:t xml:space="preserve"> Uplift at the 10-year government bond rate (LTBR) is being considered.</w:t>
      </w:r>
    </w:p>
    <w:p w14:paraId="07F58077" w14:textId="77777777" w:rsidR="007D1792" w:rsidRDefault="00540797" w:rsidP="00EB5E2D">
      <w:pPr>
        <w:pStyle w:val="ListParagraph"/>
        <w:numPr>
          <w:ilvl w:val="1"/>
          <w:numId w:val="3"/>
        </w:numPr>
      </w:pPr>
      <w:r w:rsidRPr="00540797">
        <w:t xml:space="preserve">Franking credits </w:t>
      </w:r>
      <w:r w:rsidR="002E0172">
        <w:t>are proposed to</w:t>
      </w:r>
      <w:r w:rsidRPr="00540797">
        <w:t xml:space="preserve"> continue to be calculated based on the amount of company income tax that has been paid</w:t>
      </w:r>
      <w:r w:rsidR="00EB5E2D">
        <w:t xml:space="preserve"> – with views </w:t>
      </w:r>
      <w:r w:rsidR="007D1792">
        <w:t xml:space="preserve">being </w:t>
      </w:r>
      <w:r w:rsidR="00EB5E2D">
        <w:t>sought on this and the NC</w:t>
      </w:r>
      <w:r w:rsidR="007F248C">
        <w:t>T</w:t>
      </w:r>
      <w:r w:rsidR="00EB5E2D">
        <w:t xml:space="preserve"> uplift rate.</w:t>
      </w:r>
    </w:p>
    <w:p w14:paraId="07F58078" w14:textId="77777777" w:rsidR="0083699E" w:rsidRPr="00540797" w:rsidRDefault="007D1792" w:rsidP="00EB5E2D">
      <w:pPr>
        <w:pStyle w:val="ListParagraph"/>
        <w:numPr>
          <w:ilvl w:val="1"/>
          <w:numId w:val="3"/>
        </w:numPr>
      </w:pPr>
      <w:r>
        <w:t>With financial transactions excluded from the NC</w:t>
      </w:r>
      <w:r w:rsidR="00C170D8">
        <w:t>T</w:t>
      </w:r>
      <w:r>
        <w:t>, views are being sought on how to tax financial services</w:t>
      </w:r>
      <w:r w:rsidR="00F3345B">
        <w:t xml:space="preserve"> </w:t>
      </w:r>
      <w:r>
        <w:t xml:space="preserve">activities.  </w:t>
      </w:r>
      <w:r w:rsidR="00540797" w:rsidRPr="00540797">
        <w:t xml:space="preserve">    </w:t>
      </w:r>
      <w:r w:rsidR="0083699E" w:rsidRPr="00540797">
        <w:t xml:space="preserve">  </w:t>
      </w:r>
    </w:p>
    <w:p w14:paraId="07F58079" w14:textId="77777777" w:rsidR="0083699E" w:rsidRPr="0083699E" w:rsidRDefault="0083699E" w:rsidP="00724A0B">
      <w:pPr>
        <w:pStyle w:val="ListParagraph"/>
        <w:numPr>
          <w:ilvl w:val="0"/>
          <w:numId w:val="3"/>
        </w:numPr>
      </w:pPr>
      <w:r w:rsidRPr="0083699E">
        <w:t xml:space="preserve">Expand the </w:t>
      </w:r>
      <w:r w:rsidR="00EB5E2D">
        <w:t>NC</w:t>
      </w:r>
      <w:r w:rsidR="007F248C">
        <w:t>T</w:t>
      </w:r>
      <w:r w:rsidRPr="0083699E">
        <w:t xml:space="preserve"> over time to </w:t>
      </w:r>
      <w:r w:rsidR="00EB5E2D">
        <w:t xml:space="preserve">“fund broader effective reductions in company income tax, </w:t>
      </w:r>
      <w:r w:rsidR="00EB5E2D" w:rsidRPr="00EB5E2D">
        <w:t>depending on an evaluation of the initial reform</w:t>
      </w:r>
      <w:r w:rsidR="00EB5E2D">
        <w:t>”</w:t>
      </w:r>
      <w:r w:rsidR="009073C0">
        <w:t xml:space="preserve"> (p 7)</w:t>
      </w:r>
      <w:r w:rsidR="007D1792">
        <w:t>.</w:t>
      </w:r>
    </w:p>
    <w:p w14:paraId="07F5807A" w14:textId="77777777" w:rsidR="00012BE6" w:rsidRDefault="00EB5E2D">
      <w:r>
        <w:t xml:space="preserve">Overall, the interim report </w:t>
      </w:r>
      <w:r w:rsidR="007D1792">
        <w:t xml:space="preserve">suggests </w:t>
      </w:r>
      <w:r w:rsidR="00802307">
        <w:t xml:space="preserve">a system that combines </w:t>
      </w:r>
      <w:r w:rsidR="007D1792" w:rsidRPr="007D1792">
        <w:t xml:space="preserve">company income tax and </w:t>
      </w:r>
      <w:r w:rsidR="00802307">
        <w:t>NC</w:t>
      </w:r>
      <w:r w:rsidR="00C170D8">
        <w:t>T</w:t>
      </w:r>
      <w:r w:rsidR="007D1792" w:rsidRPr="007D1792">
        <w:t xml:space="preserve"> </w:t>
      </w:r>
      <w:r w:rsidR="007D1792">
        <w:t>is</w:t>
      </w:r>
      <w:r w:rsidR="007D1792" w:rsidRPr="007D1792">
        <w:t xml:space="preserve"> the </w:t>
      </w:r>
      <w:r w:rsidR="007D1792">
        <w:t>“</w:t>
      </w:r>
      <w:r w:rsidR="007D1792" w:rsidRPr="007D1792">
        <w:t>optimal approach to company tax</w:t>
      </w:r>
      <w:r w:rsidR="007D1792">
        <w:t>”</w:t>
      </w:r>
      <w:r w:rsidR="00E81B5C">
        <w:t xml:space="preserve"> (p 7)</w:t>
      </w:r>
      <w:r w:rsidR="007D1792">
        <w:t xml:space="preserve">. It </w:t>
      </w:r>
      <w:r>
        <w:t xml:space="preserve">considers </w:t>
      </w:r>
      <w:r w:rsidR="005742FA">
        <w:t xml:space="preserve">increased capital investment, boosting productivity, would result from: </w:t>
      </w:r>
      <w:r w:rsidR="008D4587" w:rsidRPr="00B94906">
        <w:t>increas</w:t>
      </w:r>
      <w:r w:rsidR="008D4587">
        <w:t>ed</w:t>
      </w:r>
      <w:r w:rsidR="008D4587" w:rsidRPr="00B94906">
        <w:t xml:space="preserve"> retained earnings, foreign inwards investment and after-tax returns</w:t>
      </w:r>
      <w:r w:rsidR="008D4587">
        <w:t xml:space="preserve"> resulting from </w:t>
      </w:r>
      <w:r>
        <w:t>t</w:t>
      </w:r>
      <w:r w:rsidR="00012BE6">
        <w:t>he reduction in the company tax rate for small and medium companies</w:t>
      </w:r>
      <w:r w:rsidR="005742FA">
        <w:t>;</w:t>
      </w:r>
      <w:r w:rsidR="00012BE6">
        <w:t xml:space="preserve"> plus the</w:t>
      </w:r>
      <w:r w:rsidR="008D4587">
        <w:t xml:space="preserve"> general </w:t>
      </w:r>
      <w:r w:rsidR="00012BE6">
        <w:t xml:space="preserve">incentive provided by the immediate write-off of capital expenditure associated with the </w:t>
      </w:r>
      <w:r w:rsidR="00E973BE">
        <w:t>NCT</w:t>
      </w:r>
      <w:r w:rsidR="00012BE6">
        <w:t>.</w:t>
      </w:r>
    </w:p>
    <w:p w14:paraId="07F5807B" w14:textId="77777777" w:rsidR="002E0172" w:rsidRDefault="00FA782F">
      <w:r>
        <w:t>T</w:t>
      </w:r>
      <w:r w:rsidR="002E0172">
        <w:t>he interim report has narrowed its tax proposals to just corporates</w:t>
      </w:r>
      <w:r>
        <w:t>. Nevertheless</w:t>
      </w:r>
      <w:r w:rsidR="002E0172">
        <w:t>, it considers that</w:t>
      </w:r>
      <w:r>
        <w:t>,</w:t>
      </w:r>
      <w:r w:rsidR="002E0172">
        <w:t xml:space="preserve"> by </w:t>
      </w:r>
      <w:r w:rsidR="0066556A">
        <w:t>drawing on</w:t>
      </w:r>
      <w:r w:rsidR="002E0172">
        <w:t xml:space="preserve"> general tax system principles (efficiency, equity, simplicity) through a</w:t>
      </w:r>
      <w:r>
        <w:t xml:space="preserve"> “whole-of-tax system lens”, </w:t>
      </w:r>
      <w:r w:rsidR="00116EF4">
        <w:t xml:space="preserve">the </w:t>
      </w:r>
      <w:r>
        <w:t xml:space="preserve">design changes proposed would “increase economic dynamism and resilience in Australia, </w:t>
      </w:r>
      <w:r w:rsidRPr="00FA782F">
        <w:t>while remaining true to good tax system design</w:t>
      </w:r>
      <w:r>
        <w:t xml:space="preserve">”. (p 60)  </w:t>
      </w:r>
      <w:r w:rsidR="002E0172">
        <w:t xml:space="preserve">   </w:t>
      </w:r>
    </w:p>
    <w:p w14:paraId="07F5807C" w14:textId="77777777" w:rsidR="00F3345B" w:rsidRDefault="0018427F">
      <w:pPr>
        <w:rPr>
          <w:b/>
        </w:rPr>
      </w:pPr>
      <w:r>
        <w:rPr>
          <w:b/>
        </w:rPr>
        <w:lastRenderedPageBreak/>
        <w:t>BACKGROUND ON PRODUCTIVITY AND TAXING INVESTMENT PROFITS</w:t>
      </w:r>
    </w:p>
    <w:p w14:paraId="07F5807D" w14:textId="77777777" w:rsidR="007A0FB0" w:rsidRDefault="003F4F70">
      <w:r>
        <w:t xml:space="preserve">People put money into investment opportunities either directly or indirectly via collective investment vehicles like companies and trusts. They are seeking best possible returns from their investments (capital </w:t>
      </w:r>
      <w:r w:rsidR="007A0FB0">
        <w:t>outlays</w:t>
      </w:r>
      <w:r>
        <w:t xml:space="preserve"> producing future</w:t>
      </w:r>
      <w:r w:rsidR="007A0FB0">
        <w:t xml:space="preserve"> income)</w:t>
      </w:r>
      <w:r>
        <w:t>. The year-by-year income (commercial profit) from each investment comprises any annual gross receipts obtained less annual costs (all used up in the year) plus the annual change in value of the investment</w:t>
      </w:r>
      <w:r w:rsidR="007A0FB0">
        <w:t>’</w:t>
      </w:r>
      <w:r>
        <w:t>s assets</w:t>
      </w:r>
      <w:r w:rsidR="007A0FB0">
        <w:t xml:space="preserve"> and liabilities.</w:t>
      </w:r>
    </w:p>
    <w:p w14:paraId="07F5807E" w14:textId="77777777" w:rsidR="00512001" w:rsidRDefault="00512001">
      <w:r>
        <w:t>Absent any profit taxes, b</w:t>
      </w:r>
      <w:r w:rsidR="007A0FB0">
        <w:t xml:space="preserve">y seeking best available returns, these investment dollars are going to their most productive uses (environment issues aside). Productivity from </w:t>
      </w:r>
      <w:r w:rsidR="00292E7F">
        <w:t>land, labour</w:t>
      </w:r>
      <w:r w:rsidR="005742FA">
        <w:t xml:space="preserve"> and</w:t>
      </w:r>
      <w:r w:rsidR="00292E7F">
        <w:t xml:space="preserve"> capital drawn in by these investments should be maximised. The </w:t>
      </w:r>
      <w:r w:rsidR="005742FA">
        <w:t xml:space="preserve">resulting </w:t>
      </w:r>
      <w:r w:rsidR="00292E7F">
        <w:t xml:space="preserve">pattern of investment </w:t>
      </w:r>
      <w:r w:rsidR="00D83572">
        <w:t xml:space="preserve">– not the level of investment </w:t>
      </w:r>
      <w:r w:rsidR="00D83572" w:rsidRPr="00116EF4">
        <w:rPr>
          <w:i/>
        </w:rPr>
        <w:t>per se</w:t>
      </w:r>
      <w:r w:rsidR="00D83572">
        <w:t xml:space="preserve"> – brings </w:t>
      </w:r>
      <w:r w:rsidR="00292E7F">
        <w:t>out the best of productivity overall.</w:t>
      </w:r>
      <w:r w:rsidR="00116EF4">
        <w:t xml:space="preserve"> That is consistent with the commission’s view on outcomes in a trading system free of tariff and non-tariff barriers. </w:t>
      </w:r>
    </w:p>
    <w:p w14:paraId="07F5807F" w14:textId="77777777" w:rsidR="009D2C06" w:rsidRDefault="00512001" w:rsidP="00476699">
      <w:r>
        <w:t xml:space="preserve">Ideally, the design of profit-related taxes to raise </w:t>
      </w:r>
      <w:r w:rsidR="00476699">
        <w:t>revenue has</w:t>
      </w:r>
      <w:r w:rsidR="00E36096">
        <w:t xml:space="preserve"> minimal impact on </w:t>
      </w:r>
      <w:r w:rsidR="00476699">
        <w:t xml:space="preserve">pre-tax </w:t>
      </w:r>
      <w:r w:rsidR="00E36096">
        <w:t>decisions</w:t>
      </w:r>
      <w:r w:rsidR="00476699">
        <w:t xml:space="preserve"> on how and where to invest within Australia</w:t>
      </w:r>
      <w:r w:rsidR="002B1A06">
        <w:t xml:space="preserve"> and what to invest in</w:t>
      </w:r>
      <w:r w:rsidR="00476699">
        <w:t>. Such decisions include funding sources (debt, new equity, retained earnings, and so on) and mode of investment (direct</w:t>
      </w:r>
      <w:r w:rsidR="009D2C06">
        <w:t xml:space="preserve"> or</w:t>
      </w:r>
      <w:r w:rsidR="00476699">
        <w:t xml:space="preserve"> indirect using different collective investment vehicles</w:t>
      </w:r>
      <w:r w:rsidR="009D2C06">
        <w:t xml:space="preserve">). </w:t>
      </w:r>
      <w:r w:rsidR="00EB43BF">
        <w:t xml:space="preserve"> </w:t>
      </w:r>
      <w:r w:rsidR="009D2C06">
        <w:t>T</w:t>
      </w:r>
      <w:r w:rsidR="00EB43BF">
        <w:t xml:space="preserve">he decision </w:t>
      </w:r>
      <w:r w:rsidR="009D2C06">
        <w:t xml:space="preserve">of businesses </w:t>
      </w:r>
      <w:r w:rsidR="00EB43BF">
        <w:t xml:space="preserve">whether </w:t>
      </w:r>
      <w:r w:rsidR="009D2C06">
        <w:t xml:space="preserve">or not </w:t>
      </w:r>
      <w:r w:rsidR="00EB43BF">
        <w:t>to incorporate</w:t>
      </w:r>
      <w:r w:rsidR="009D2C06">
        <w:t>, for example,</w:t>
      </w:r>
      <w:r w:rsidR="00EB43BF">
        <w:t xml:space="preserve"> </w:t>
      </w:r>
      <w:r w:rsidR="009D2C06">
        <w:t xml:space="preserve">would be </w:t>
      </w:r>
      <w:r w:rsidR="00EB43BF">
        <w:t>made purely for non-tax reasons</w:t>
      </w:r>
      <w:r w:rsidR="00476699">
        <w:t>.</w:t>
      </w:r>
      <w:r w:rsidR="00A0129D">
        <w:t xml:space="preserve"> </w:t>
      </w:r>
    </w:p>
    <w:p w14:paraId="07F58080" w14:textId="77777777" w:rsidR="00D83572" w:rsidRDefault="00D83572" w:rsidP="00476699">
      <w:r>
        <w:t xml:space="preserve">Imposing </w:t>
      </w:r>
      <w:r w:rsidR="00EC529C">
        <w:t>profit-related</w:t>
      </w:r>
      <w:r>
        <w:t xml:space="preserve"> taxes </w:t>
      </w:r>
      <w:r w:rsidR="00A0129D">
        <w:t xml:space="preserve">does not lift productivity. It is how the taxes are designed that can minimise their negative impact on </w:t>
      </w:r>
      <w:r w:rsidR="00EB43BF">
        <w:t xml:space="preserve">the </w:t>
      </w:r>
      <w:r w:rsidR="00A0129D">
        <w:t xml:space="preserve">productivity that would </w:t>
      </w:r>
      <w:r w:rsidR="00EB43BF">
        <w:t>have been</w:t>
      </w:r>
      <w:r w:rsidR="00A0129D">
        <w:t xml:space="preserve"> achieved </w:t>
      </w:r>
      <w:r w:rsidR="002B1A06">
        <w:t xml:space="preserve">in their </w:t>
      </w:r>
      <w:r w:rsidR="00A0129D">
        <w:t>absen</w:t>
      </w:r>
      <w:r w:rsidR="002B1A06">
        <w:t xml:space="preserve">ce </w:t>
      </w:r>
      <w:r w:rsidR="00EC529C">
        <w:t xml:space="preserve"> – productivity </w:t>
      </w:r>
      <w:r w:rsidR="00A0129D">
        <w:t xml:space="preserve">impacted by such features as the flexibility of labour markets and the degree of unnecessary regulation (discussed elsewhere in the </w:t>
      </w:r>
      <w:r w:rsidR="00DA0111">
        <w:t>interim report</w:t>
      </w:r>
      <w:r w:rsidR="00A0129D">
        <w:t>).</w:t>
      </w:r>
    </w:p>
    <w:p w14:paraId="07F58081" w14:textId="77777777" w:rsidR="00476699" w:rsidRDefault="009C40B3" w:rsidP="00476699">
      <w:r>
        <w:t xml:space="preserve">Having minimal impact includes not diverting global investment flows away from Australia with its associated potential negative impact on productivity. Particularly relevant to such diversion is the level of the </w:t>
      </w:r>
      <w:r w:rsidR="00A43861">
        <w:t xml:space="preserve">rate of </w:t>
      </w:r>
      <w:r>
        <w:t>company tax</w:t>
      </w:r>
      <w:r w:rsidR="00DA0111">
        <w:t xml:space="preserve"> </w:t>
      </w:r>
      <w:r>
        <w:t xml:space="preserve">or dividend withholding tax </w:t>
      </w:r>
      <w:r w:rsidR="00A43861">
        <w:t>taken</w:t>
      </w:r>
      <w:r>
        <w:t xml:space="preserve"> out of company dividends flowing to inwards foreign investors</w:t>
      </w:r>
      <w:r w:rsidR="00A0129D">
        <w:t>.</w:t>
      </w:r>
      <w:r w:rsidR="00361409">
        <w:t xml:space="preserve"> </w:t>
      </w:r>
    </w:p>
    <w:p w14:paraId="07F58082" w14:textId="77777777" w:rsidR="00DE326B" w:rsidRDefault="002B1A06" w:rsidP="00476699">
      <w:r>
        <w:t>Against this background, o</w:t>
      </w:r>
      <w:r w:rsidR="00D53FAB">
        <w:t xml:space="preserve">ne way </w:t>
      </w:r>
      <w:r w:rsidR="00424939">
        <w:t>of</w:t>
      </w:r>
      <w:r w:rsidR="00D53FAB">
        <w:t xml:space="preserve"> </w:t>
      </w:r>
      <w:r w:rsidR="00A0129D">
        <w:t>assess</w:t>
      </w:r>
      <w:r w:rsidR="00424939">
        <w:t>ing</w:t>
      </w:r>
      <w:r w:rsidR="00A0129D">
        <w:t xml:space="preserve"> the quality of the </w:t>
      </w:r>
      <w:r w:rsidR="00D53FAB">
        <w:t xml:space="preserve">interim report’s tax proposals </w:t>
      </w:r>
      <w:r w:rsidR="00424939">
        <w:t>has three phases</w:t>
      </w:r>
      <w:r w:rsidR="00D53FAB">
        <w:t xml:space="preserve">: </w:t>
      </w:r>
    </w:p>
    <w:p w14:paraId="07F58083" w14:textId="77777777" w:rsidR="00DE326B" w:rsidRDefault="00D53FAB" w:rsidP="00F645B7">
      <w:pPr>
        <w:pStyle w:val="ListParagraph"/>
        <w:numPr>
          <w:ilvl w:val="0"/>
          <w:numId w:val="5"/>
        </w:numPr>
      </w:pPr>
      <w:r>
        <w:t>first, look at the theoretically</w:t>
      </w:r>
      <w:r w:rsidR="00424939">
        <w:t>-</w:t>
      </w:r>
      <w:r>
        <w:t xml:space="preserve">ideal design </w:t>
      </w:r>
      <w:r w:rsidR="002B1A06">
        <w:t xml:space="preserve">of each of the two taxes in the proposals </w:t>
      </w:r>
      <w:r w:rsidR="00424939">
        <w:t>that</w:t>
      </w:r>
      <w:r>
        <w:t xml:space="preserve"> minimise</w:t>
      </w:r>
      <w:r w:rsidR="00424939">
        <w:t>s</w:t>
      </w:r>
      <w:r>
        <w:t xml:space="preserve"> </w:t>
      </w:r>
      <w:r w:rsidR="00CC1A57">
        <w:t>its</w:t>
      </w:r>
      <w:r>
        <w:t xml:space="preserve"> impact on investment decision-m</w:t>
      </w:r>
      <w:r w:rsidR="00DE326B">
        <w:t>aking</w:t>
      </w:r>
      <w:r>
        <w:t xml:space="preserve"> – one </w:t>
      </w:r>
      <w:r w:rsidR="00361409">
        <w:t>applying to investment cash flows</w:t>
      </w:r>
      <w:r w:rsidR="00DE326B">
        <w:t>,</w:t>
      </w:r>
      <w:r w:rsidR="00361409">
        <w:t xml:space="preserve"> the other to investment income (which also appl</w:t>
      </w:r>
      <w:r w:rsidR="004B1E22">
        <w:t>ies</w:t>
      </w:r>
      <w:r w:rsidR="00361409">
        <w:t xml:space="preserve"> to wages income</w:t>
      </w:r>
      <w:r w:rsidR="00E36096">
        <w:t xml:space="preserve">, with local investors’ annual income </w:t>
      </w:r>
      <w:r w:rsidR="002B1A06">
        <w:t>from</w:t>
      </w:r>
      <w:r w:rsidR="00E36096">
        <w:t xml:space="preserve"> </w:t>
      </w:r>
      <w:r w:rsidR="00EC529C">
        <w:t xml:space="preserve">many </w:t>
      </w:r>
      <w:r w:rsidR="00E36096">
        <w:t>sources brought together in their annual tax returns</w:t>
      </w:r>
      <w:r w:rsidR="00361409">
        <w:t>)</w:t>
      </w:r>
      <w:r w:rsidR="00DE326B">
        <w:t xml:space="preserve">; </w:t>
      </w:r>
    </w:p>
    <w:p w14:paraId="07F58084" w14:textId="77777777" w:rsidR="00DE326B" w:rsidRDefault="00DE326B" w:rsidP="00F645B7">
      <w:pPr>
        <w:pStyle w:val="ListParagraph"/>
        <w:numPr>
          <w:ilvl w:val="0"/>
          <w:numId w:val="5"/>
        </w:numPr>
      </w:pPr>
      <w:r>
        <w:t>second, look at the theoretically</w:t>
      </w:r>
      <w:r w:rsidR="002B1A06">
        <w:t>-</w:t>
      </w:r>
      <w:r>
        <w:t xml:space="preserve">ideal way of combining the two </w:t>
      </w:r>
      <w:r w:rsidR="00C91C08">
        <w:t xml:space="preserve">‘pure’ </w:t>
      </w:r>
      <w:r>
        <w:t xml:space="preserve">taxes, again so as to minimise investment distortions; and, </w:t>
      </w:r>
    </w:p>
    <w:p w14:paraId="07F58085" w14:textId="77777777" w:rsidR="00FF0997" w:rsidRPr="008D4587" w:rsidRDefault="00DE326B" w:rsidP="008D4587">
      <w:pPr>
        <w:pStyle w:val="ListParagraph"/>
        <w:numPr>
          <w:ilvl w:val="0"/>
          <w:numId w:val="5"/>
        </w:numPr>
        <w:rPr>
          <w:b/>
        </w:rPr>
      </w:pPr>
      <w:r>
        <w:t xml:space="preserve">third, </w:t>
      </w:r>
      <w:r w:rsidR="00E20D1B">
        <w:t xml:space="preserve">against the background of the first two phases, </w:t>
      </w:r>
      <w:r w:rsidR="00C91026">
        <w:t xml:space="preserve">assess the interim report’s proposed </w:t>
      </w:r>
      <w:r w:rsidR="00E20D1B">
        <w:t>NCT and way of combining it with</w:t>
      </w:r>
      <w:r w:rsidR="00C91026">
        <w:t xml:space="preserve"> our full imputation system of company tax</w:t>
      </w:r>
      <w:r w:rsidR="00E20D1B">
        <w:t>ation</w:t>
      </w:r>
      <w:r>
        <w:t>.</w:t>
      </w:r>
    </w:p>
    <w:p w14:paraId="07F58086" w14:textId="77777777" w:rsidR="005332D8" w:rsidRPr="007D4040" w:rsidRDefault="00424939">
      <w:pPr>
        <w:rPr>
          <w:b/>
        </w:rPr>
      </w:pPr>
      <w:r>
        <w:rPr>
          <w:b/>
        </w:rPr>
        <w:t xml:space="preserve">Phase </w:t>
      </w:r>
      <w:r w:rsidR="00F645B7">
        <w:rPr>
          <w:b/>
        </w:rPr>
        <w:t>1</w:t>
      </w:r>
      <w:r>
        <w:rPr>
          <w:b/>
        </w:rPr>
        <w:t>: i</w:t>
      </w:r>
      <w:r w:rsidR="00670AAB" w:rsidRPr="007D4040">
        <w:rPr>
          <w:b/>
        </w:rPr>
        <w:t xml:space="preserve">nvestment-neutral </w:t>
      </w:r>
      <w:r>
        <w:rPr>
          <w:b/>
        </w:rPr>
        <w:t>d</w:t>
      </w:r>
      <w:r w:rsidR="00DE326B">
        <w:rPr>
          <w:b/>
        </w:rPr>
        <w:t xml:space="preserve">esign of </w:t>
      </w:r>
      <w:r>
        <w:rPr>
          <w:b/>
        </w:rPr>
        <w:t>i</w:t>
      </w:r>
      <w:r w:rsidR="005332D8" w:rsidRPr="007D4040">
        <w:rPr>
          <w:b/>
        </w:rPr>
        <w:t xml:space="preserve">ncome and </w:t>
      </w:r>
      <w:r>
        <w:rPr>
          <w:b/>
        </w:rPr>
        <w:t>c</w:t>
      </w:r>
      <w:r w:rsidR="005332D8" w:rsidRPr="007D4040">
        <w:rPr>
          <w:b/>
        </w:rPr>
        <w:t xml:space="preserve">ash </w:t>
      </w:r>
      <w:r>
        <w:rPr>
          <w:b/>
        </w:rPr>
        <w:t>f</w:t>
      </w:r>
      <w:r w:rsidR="005332D8" w:rsidRPr="007D4040">
        <w:rPr>
          <w:b/>
        </w:rPr>
        <w:t xml:space="preserve">low </w:t>
      </w:r>
      <w:r>
        <w:rPr>
          <w:b/>
        </w:rPr>
        <w:t>t</w:t>
      </w:r>
      <w:r w:rsidR="005332D8" w:rsidRPr="007D4040">
        <w:rPr>
          <w:b/>
        </w:rPr>
        <w:t>axes</w:t>
      </w:r>
    </w:p>
    <w:p w14:paraId="07F58087" w14:textId="77777777" w:rsidR="00C431BA" w:rsidRDefault="001B3766">
      <w:r>
        <w:t>Just before end Year 1</w:t>
      </w:r>
      <w:r w:rsidR="00147ED1">
        <w:t xml:space="preserve">, </w:t>
      </w:r>
      <w:r w:rsidR="00424939">
        <w:t>an</w:t>
      </w:r>
      <w:r w:rsidR="00147ED1">
        <w:t xml:space="preserve"> investor puts $1000 into a widget-producing machine (which could be via the </w:t>
      </w:r>
      <w:r w:rsidR="00DE326B">
        <w:t>report</w:t>
      </w:r>
      <w:r w:rsidR="00147ED1">
        <w:t xml:space="preserve">’s </w:t>
      </w:r>
      <w:r w:rsidR="00147ED1" w:rsidRPr="00147ED1">
        <w:rPr>
          <w:i/>
        </w:rPr>
        <w:t>Widgets</w:t>
      </w:r>
      <w:r w:rsidR="00147ED1">
        <w:t xml:space="preserve"> company). At </w:t>
      </w:r>
      <w:r>
        <w:t>end Year 2</w:t>
      </w:r>
      <w:r w:rsidR="00147ED1">
        <w:t>, the</w:t>
      </w:r>
      <w:r>
        <w:t xml:space="preserve"> value of the investment has increased by 10</w:t>
      </w:r>
      <w:r w:rsidR="00575603">
        <w:t>%</w:t>
      </w:r>
      <w:r>
        <w:t xml:space="preserve"> to </w:t>
      </w:r>
      <w:r>
        <w:lastRenderedPageBreak/>
        <w:t xml:space="preserve">$1100 reflecting: </w:t>
      </w:r>
      <w:r w:rsidR="00147ED1">
        <w:t xml:space="preserve">$250 net receipts from </w:t>
      </w:r>
      <w:r w:rsidR="00424939">
        <w:t xml:space="preserve">sales of </w:t>
      </w:r>
      <w:r w:rsidR="00147ED1">
        <w:t>widgets produced during the year less maintenance and other operating costs</w:t>
      </w:r>
      <w:r>
        <w:t xml:space="preserve">; plus, a $150 reduction in value </w:t>
      </w:r>
      <w:r w:rsidR="00147ED1">
        <w:t xml:space="preserve">of the widget-producing machine </w:t>
      </w:r>
      <w:r w:rsidR="00C431BA">
        <w:t>because of wear and tear</w:t>
      </w:r>
      <w:r>
        <w:t xml:space="preserve"> (</w:t>
      </w:r>
      <w:r w:rsidR="00521093">
        <w:t xml:space="preserve">which </w:t>
      </w:r>
      <w:r>
        <w:t>caus</w:t>
      </w:r>
      <w:r w:rsidR="00521093">
        <w:t>es</w:t>
      </w:r>
      <w:r>
        <w:t xml:space="preserve"> a</w:t>
      </w:r>
      <w:r w:rsidR="00521093">
        <w:t>n ongoing</w:t>
      </w:r>
      <w:r>
        <w:t xml:space="preserve"> 15</w:t>
      </w:r>
      <w:r w:rsidR="00575603">
        <w:t>%</w:t>
      </w:r>
      <w:r>
        <w:t xml:space="preserve"> annual decline in future net receipts)</w:t>
      </w:r>
      <w:r w:rsidR="00C431BA">
        <w:t>.</w:t>
      </w:r>
      <w:r>
        <w:t xml:space="preserve"> The investor sells </w:t>
      </w:r>
      <w:r w:rsidR="000F5CDE">
        <w:t>her</w:t>
      </w:r>
      <w:r>
        <w:t xml:space="preserve"> interest in the machine for $850 at end Year 2</w:t>
      </w:r>
      <w:r w:rsidR="00BA350E">
        <w:t xml:space="preserve"> after receiving the $250 of net receipts</w:t>
      </w:r>
      <w:r>
        <w:t>.</w:t>
      </w:r>
    </w:p>
    <w:p w14:paraId="07F58088" w14:textId="77777777" w:rsidR="00084E7B" w:rsidRDefault="00C431BA">
      <w:r>
        <w:t xml:space="preserve">The </w:t>
      </w:r>
      <w:r w:rsidR="001B3766">
        <w:t xml:space="preserve">following </w:t>
      </w:r>
      <w:r w:rsidR="00782E71">
        <w:t>‘neutrality chart’</w:t>
      </w:r>
      <w:r>
        <w:t xml:space="preserve"> illustrates the </w:t>
      </w:r>
      <w:r w:rsidR="003627E7">
        <w:t xml:space="preserve">separate </w:t>
      </w:r>
      <w:r>
        <w:t>operation of both pure cash flow and income tax</w:t>
      </w:r>
      <w:r w:rsidR="001B3766">
        <w:t>ation</w:t>
      </w:r>
      <w:r>
        <w:t xml:space="preserve"> on the investment</w:t>
      </w:r>
      <w:r w:rsidR="00575603">
        <w:t>, each</w:t>
      </w:r>
      <w:r w:rsidR="001B6CB1">
        <w:t xml:space="preserve"> applied with a 50% tax rate</w:t>
      </w:r>
      <w:r w:rsidR="00084E7B">
        <w:t xml:space="preserve"> – as well as </w:t>
      </w:r>
      <w:r w:rsidR="004F4C85">
        <w:t xml:space="preserve">the </w:t>
      </w:r>
      <w:r w:rsidR="00084E7B">
        <w:t>investment-neutrality properties of both</w:t>
      </w:r>
      <w:r w:rsidR="00EC529C">
        <w:t xml:space="preserve"> taxes</w:t>
      </w:r>
      <w:r>
        <w:t xml:space="preserve">. </w:t>
      </w:r>
    </w:p>
    <w:p w14:paraId="07F58089" w14:textId="77777777" w:rsidR="00084E7B" w:rsidRDefault="00084E7B">
      <w:r>
        <w:rPr>
          <w:noProof/>
          <w:lang w:eastAsia="en-AU"/>
        </w:rPr>
        <w:drawing>
          <wp:inline distT="0" distB="0" distL="0" distR="0" wp14:anchorId="07F5834C" wp14:editId="07F5834D">
            <wp:extent cx="5731510" cy="42989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tral Taxes.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07F5808A" w14:textId="77777777" w:rsidR="00BC67D4" w:rsidRDefault="00823D31">
      <w:r>
        <w:t xml:space="preserve">The </w:t>
      </w:r>
      <w:r w:rsidR="00782E71">
        <w:t>neutrality chart</w:t>
      </w:r>
      <w:r>
        <w:t xml:space="preserve"> has 10% pa as the </w:t>
      </w:r>
      <w:r w:rsidR="00521093">
        <w:t>‘</w:t>
      </w:r>
      <w:r>
        <w:t>going</w:t>
      </w:r>
      <w:r w:rsidR="00521093">
        <w:t>’</w:t>
      </w:r>
      <w:r>
        <w:t xml:space="preserve"> interest rate, the rate at which investors are</w:t>
      </w:r>
      <w:r w:rsidR="00BC384E">
        <w:t xml:space="preserve"> able to borrow and lend</w:t>
      </w:r>
      <w:r>
        <w:t xml:space="preserve">. That is the rate </w:t>
      </w:r>
      <w:r w:rsidR="004F4C85">
        <w:t xml:space="preserve">(unique risks aside) </w:t>
      </w:r>
      <w:r>
        <w:t xml:space="preserve">that investors use to discount </w:t>
      </w:r>
      <w:r w:rsidR="00BC384E">
        <w:t xml:space="preserve">expected </w:t>
      </w:r>
      <w:r>
        <w:t xml:space="preserve">future </w:t>
      </w:r>
      <w:r w:rsidR="0020431E">
        <w:t xml:space="preserve">pre-tax </w:t>
      </w:r>
      <w:r>
        <w:t xml:space="preserve">investment flows back to </w:t>
      </w:r>
      <w:r w:rsidR="00BC384E">
        <w:t xml:space="preserve">the present to </w:t>
      </w:r>
      <w:r w:rsidR="00521093">
        <w:t xml:space="preserve">help </w:t>
      </w:r>
      <w:r w:rsidR="00BC384E">
        <w:t>establish the viability of investing.</w:t>
      </w:r>
      <w:r w:rsidR="00720E1B">
        <w:t xml:space="preserve"> It is the inflation-affected nominal interest rate that includes any impact of income taxation in our small country with its open capital market part of the fluid worldwide financial markets. </w:t>
      </w:r>
    </w:p>
    <w:p w14:paraId="07F5808B" w14:textId="77777777" w:rsidR="00BC384E" w:rsidRDefault="00720E1B">
      <w:r>
        <w:t xml:space="preserve">The going interest rate here does not include any possible grossing-up effect on pre-tax returns required by our companies as </w:t>
      </w:r>
      <w:r w:rsidR="000F5CDE">
        <w:t>discussed</w:t>
      </w:r>
      <w:r>
        <w:t xml:space="preserve"> </w:t>
      </w:r>
      <w:r w:rsidR="000F5CDE">
        <w:t xml:space="preserve">in </w:t>
      </w:r>
      <w:r>
        <w:t>the ‘Henry review’</w:t>
      </w:r>
      <w:r w:rsidR="007749C1">
        <w:rPr>
          <w:rStyle w:val="FootnoteReference"/>
        </w:rPr>
        <w:footnoteReference w:id="1"/>
      </w:r>
      <w:r>
        <w:t xml:space="preserve">. That affect is due to a country’s excessively high company tax rate that diverts fluid global funds elsewhere and is therefore is not </w:t>
      </w:r>
      <w:r>
        <w:lastRenderedPageBreak/>
        <w:t>relevant either to the design of our imputation company tax system or of our domestic income tax base.</w:t>
      </w:r>
      <w:r w:rsidR="007749C1">
        <w:rPr>
          <w:rStyle w:val="FootnoteReference"/>
        </w:rPr>
        <w:footnoteReference w:id="2"/>
      </w:r>
      <w:r>
        <w:t xml:space="preserve"> </w:t>
      </w:r>
    </w:p>
    <w:p w14:paraId="07F5808C" w14:textId="77777777" w:rsidR="00BC384E" w:rsidRDefault="00BC384E">
      <w:r>
        <w:t xml:space="preserve">Discounting the $1100 expected in Year 2 ($250 net receipts plus $850 sale value) at 10% back to Year 1, gives $1000. That </w:t>
      </w:r>
      <w:r w:rsidR="000F5A61">
        <w:t>suggests</w:t>
      </w:r>
      <w:r w:rsidR="00750EC5">
        <w:t xml:space="preserve"> </w:t>
      </w:r>
      <w:r w:rsidR="000F5A61">
        <w:t>that</w:t>
      </w:r>
      <w:r>
        <w:t xml:space="preserve"> a $1000 investment in the widget machine</w:t>
      </w:r>
      <w:r w:rsidR="00BC6BF5">
        <w:t xml:space="preserve"> is</w:t>
      </w:r>
      <w:r>
        <w:t xml:space="preserve"> just viable before tax.</w:t>
      </w:r>
      <w:r w:rsidR="00362CD6">
        <w:t xml:space="preserve"> The investment</w:t>
      </w:r>
      <w:r w:rsidR="000A508D">
        <w:t>’</w:t>
      </w:r>
      <w:r w:rsidR="00362CD6">
        <w:t xml:space="preserve">s </w:t>
      </w:r>
      <w:r w:rsidR="00BC6BF5">
        <w:t xml:space="preserve">pre-tax </w:t>
      </w:r>
      <w:r w:rsidR="00362CD6">
        <w:t>net present value (NPV) is zero, or -$1000 + $1100/1.1.</w:t>
      </w:r>
    </w:p>
    <w:p w14:paraId="07F5808D" w14:textId="77777777" w:rsidR="00823D31" w:rsidRDefault="000A508D">
      <w:r>
        <w:t xml:space="preserve">The </w:t>
      </w:r>
      <w:r w:rsidR="00782E71">
        <w:t>neutrality chart</w:t>
      </w:r>
      <w:r>
        <w:t xml:space="preserve"> shows how</w:t>
      </w:r>
      <w:r w:rsidR="00BC384E">
        <w:t xml:space="preserve"> each of the two taxes affect</w:t>
      </w:r>
      <w:r>
        <w:t>s</w:t>
      </w:r>
      <w:r w:rsidR="00BC384E">
        <w:t xml:space="preserve"> the viability of th</w:t>
      </w:r>
      <w:r w:rsidR="000F5A61">
        <w:t>is marginal</w:t>
      </w:r>
      <w:r w:rsidR="00BC384E">
        <w:t xml:space="preserve"> planned investment</w:t>
      </w:r>
      <w:r>
        <w:t>.</w:t>
      </w:r>
      <w:r w:rsidR="00BC384E">
        <w:t xml:space="preserve"> </w:t>
      </w:r>
      <w:r w:rsidR="00B57001">
        <w:t xml:space="preserve">It </w:t>
      </w:r>
      <w:r w:rsidR="00B26D96">
        <w:t xml:space="preserve">illustrates the annual impact of each tax on the </w:t>
      </w:r>
      <w:r w:rsidR="00EA4002">
        <w:t>individual</w:t>
      </w:r>
      <w:r w:rsidR="00B57001">
        <w:t xml:space="preserve"> investor</w:t>
      </w:r>
      <w:r w:rsidR="00B26D96">
        <w:t xml:space="preserve"> </w:t>
      </w:r>
      <w:r w:rsidR="00750EC5">
        <w:t xml:space="preserve">without </w:t>
      </w:r>
      <w:r w:rsidR="00B26D96">
        <w:t>regard</w:t>
      </w:r>
      <w:r w:rsidR="00750EC5">
        <w:t xml:space="preserve"> to the </w:t>
      </w:r>
      <w:r w:rsidR="00BC6BF5">
        <w:t xml:space="preserve">investor’s </w:t>
      </w:r>
      <w:r w:rsidR="00750EC5">
        <w:t>particular mode of investing</w:t>
      </w:r>
      <w:r w:rsidR="00B26D96">
        <w:t xml:space="preserve">. </w:t>
      </w:r>
      <w:r w:rsidR="00EA4002">
        <w:t xml:space="preserve"> </w:t>
      </w:r>
      <w:r w:rsidR="00BC384E">
        <w:t xml:space="preserve">   </w:t>
      </w:r>
    </w:p>
    <w:p w14:paraId="07F5808E" w14:textId="77777777" w:rsidR="00084E7B" w:rsidRPr="008F0EA0" w:rsidRDefault="00084E7B">
      <w:pPr>
        <w:rPr>
          <w:b/>
          <w:i/>
        </w:rPr>
      </w:pPr>
      <w:r w:rsidRPr="008F0EA0">
        <w:rPr>
          <w:b/>
          <w:i/>
        </w:rPr>
        <w:t>Income tax</w:t>
      </w:r>
    </w:p>
    <w:p w14:paraId="07F5808F" w14:textId="77777777" w:rsidR="00362CD6" w:rsidRDefault="00362CD6">
      <w:r>
        <w:t xml:space="preserve">The </w:t>
      </w:r>
      <w:r w:rsidR="00B57001">
        <w:t>interim</w:t>
      </w:r>
      <w:r>
        <w:t xml:space="preserve"> report does not </w:t>
      </w:r>
      <w:r w:rsidR="00B57001">
        <w:t xml:space="preserve">seem to appreciate </w:t>
      </w:r>
      <w:r>
        <w:t xml:space="preserve">the tax-neutrality properties of income taxation. </w:t>
      </w:r>
      <w:r w:rsidR="00B57001">
        <w:t>H</w:t>
      </w:r>
      <w:r>
        <w:t xml:space="preserve">aving to wait for capital expenditure to be written off, as opposed to </w:t>
      </w:r>
      <w:r w:rsidR="00B57001">
        <w:t xml:space="preserve">getting </w:t>
      </w:r>
      <w:r w:rsidR="00763EA6">
        <w:t xml:space="preserve">the </w:t>
      </w:r>
      <w:r>
        <w:t xml:space="preserve">immediate write-off </w:t>
      </w:r>
      <w:r w:rsidR="00763EA6">
        <w:t>of</w:t>
      </w:r>
      <w:r>
        <w:t xml:space="preserve"> cash flow taxation, </w:t>
      </w:r>
      <w:r w:rsidR="00B57001">
        <w:t>is presented as</w:t>
      </w:r>
      <w:r>
        <w:t xml:space="preserve"> something of a </w:t>
      </w:r>
      <w:r w:rsidR="008A2E1A">
        <w:t xml:space="preserve">hand </w:t>
      </w:r>
      <w:r>
        <w:t>break on investment activity.</w:t>
      </w:r>
    </w:p>
    <w:p w14:paraId="07F58090" w14:textId="77777777" w:rsidR="000A508D" w:rsidRDefault="000A508D">
      <w:r>
        <w:t xml:space="preserve">However, the </w:t>
      </w:r>
      <w:r w:rsidR="00782E71">
        <w:t>neutrality chart</w:t>
      </w:r>
      <w:r>
        <w:t xml:space="preserve"> illustrates how two features work together to provide investment neutrality from</w:t>
      </w:r>
      <w:r w:rsidR="00B57001">
        <w:t xml:space="preserve"> pure</w:t>
      </w:r>
      <w:r>
        <w:t xml:space="preserve"> income tax design</w:t>
      </w:r>
      <w:r w:rsidR="008A2E1A">
        <w:t>. Such design</w:t>
      </w:r>
      <w:r>
        <w:t xml:space="preserve"> </w:t>
      </w:r>
      <w:r w:rsidR="00A74373">
        <w:t>sees</w:t>
      </w:r>
      <w:r>
        <w:t xml:space="preserve"> investors </w:t>
      </w:r>
      <w:r w:rsidR="00A74373">
        <w:t xml:space="preserve">taxed </w:t>
      </w:r>
      <w:r>
        <w:t>on the annual economic income, or commercial profit</w:t>
      </w:r>
      <w:r w:rsidR="00B57001">
        <w:t>,</w:t>
      </w:r>
      <w:r>
        <w:t xml:space="preserve"> of their investments</w:t>
      </w:r>
      <w:r w:rsidR="00B57001">
        <w:t>. Annual commercial profit</w:t>
      </w:r>
      <w:r>
        <w:t xml:space="preserve"> compris</w:t>
      </w:r>
      <w:r w:rsidR="00B57001">
        <w:t>es</w:t>
      </w:r>
      <w:r>
        <w:t xml:space="preserve"> net receipts plus annual change in value of investment assets (and liabilities)</w:t>
      </w:r>
      <w:r w:rsidR="00C40637">
        <w:t>.</w:t>
      </w:r>
      <w:r w:rsidR="00A74373">
        <w:t xml:space="preserve"> The two investment-neutrality features are as follows. </w:t>
      </w:r>
    </w:p>
    <w:p w14:paraId="07F58091" w14:textId="77777777" w:rsidR="00A468BB" w:rsidRDefault="00B301B9" w:rsidP="00C40637">
      <w:pPr>
        <w:pStyle w:val="ListParagraph"/>
        <w:numPr>
          <w:ilvl w:val="0"/>
          <w:numId w:val="1"/>
        </w:numPr>
      </w:pPr>
      <w:r>
        <w:t>The</w:t>
      </w:r>
      <w:r w:rsidR="00C40637">
        <w:t xml:space="preserve"> investor in the </w:t>
      </w:r>
      <w:r w:rsidR="00782E71">
        <w:t>neutrality chart</w:t>
      </w:r>
      <w:r>
        <w:t xml:space="preserve"> </w:t>
      </w:r>
      <w:r w:rsidR="00C40637">
        <w:t>is taxed on the machine’s</w:t>
      </w:r>
      <w:r>
        <w:t xml:space="preserve"> $100 </w:t>
      </w:r>
      <w:r w:rsidR="00C40637">
        <w:t>of annual commercial profit, comprising</w:t>
      </w:r>
      <w:r>
        <w:t xml:space="preserve"> $250 net receipts </w:t>
      </w:r>
      <w:r w:rsidR="00823D31">
        <w:t xml:space="preserve">(gross receipts less immediate deduction for current costs) </w:t>
      </w:r>
      <w:r>
        <w:t xml:space="preserve">less $150 decline in asset value. Income tax depreciation allowed at 15% </w:t>
      </w:r>
      <w:r w:rsidR="00C40637">
        <w:t>pa</w:t>
      </w:r>
      <w:r>
        <w:t xml:space="preserve"> matches the actual decline in asset value. </w:t>
      </w:r>
      <w:r w:rsidR="000F5A61">
        <w:t>This means c</w:t>
      </w:r>
      <w:r w:rsidR="00821B64">
        <w:t xml:space="preserve">ommercial profit is reduced after tax in proportion to the </w:t>
      </w:r>
      <w:r w:rsidR="000F5A61">
        <w:t xml:space="preserve">investor’s </w:t>
      </w:r>
      <w:r w:rsidR="00821B64">
        <w:t xml:space="preserve">50% tax rate: from $100 to $50. </w:t>
      </w:r>
      <w:r w:rsidR="00C40637">
        <w:t>Thus, t</w:t>
      </w:r>
      <w:r w:rsidR="00821B64">
        <w:t xml:space="preserve">he Year 2 payout </w:t>
      </w:r>
      <w:r w:rsidR="00E77449">
        <w:t xml:space="preserve">is reduced </w:t>
      </w:r>
      <w:r w:rsidR="00821B64">
        <w:t>from $1100 pre-tax to $1050 post-tax</w:t>
      </w:r>
      <w:r w:rsidR="00E77449">
        <w:t>.</w:t>
      </w:r>
      <w:r w:rsidR="00821B64">
        <w:t xml:space="preserve"> </w:t>
      </w:r>
    </w:p>
    <w:p w14:paraId="07F58092" w14:textId="77777777" w:rsidR="00823D31" w:rsidRDefault="00C40637" w:rsidP="00C40637">
      <w:pPr>
        <w:pStyle w:val="ListParagraph"/>
        <w:numPr>
          <w:ilvl w:val="0"/>
          <w:numId w:val="1"/>
        </w:numPr>
      </w:pPr>
      <w:r>
        <w:t>G</w:t>
      </w:r>
      <w:r w:rsidR="00A468BB">
        <w:t xml:space="preserve">iven the 50% tax rate, the investor’s after-tax discount </w:t>
      </w:r>
      <w:r w:rsidR="00B57001">
        <w:t xml:space="preserve">rate </w:t>
      </w:r>
      <w:r w:rsidR="00A468BB">
        <w:t xml:space="preserve">becomes 5% pa: the 10% pre-tax rate reduced in proportion to the tax rate. </w:t>
      </w:r>
      <w:r w:rsidR="00E77449">
        <w:t xml:space="preserve">That is because income tax applies to investment income across all alternative sources. </w:t>
      </w:r>
      <w:r w:rsidR="00A468BB">
        <w:t xml:space="preserve">Before tax, the investor could </w:t>
      </w:r>
      <w:r w:rsidR="00821B64">
        <w:t xml:space="preserve">earn 10% pa interest from the financial market. After 50% </w:t>
      </w:r>
      <w:r w:rsidR="00BC6BF5">
        <w:t>income t</w:t>
      </w:r>
      <w:r w:rsidR="00821B64">
        <w:t xml:space="preserve">ax, the investor earns 5% </w:t>
      </w:r>
      <w:r>
        <w:t xml:space="preserve">pa </w:t>
      </w:r>
      <w:r w:rsidR="00821B64">
        <w:t>interest</w:t>
      </w:r>
      <w:r w:rsidR="00823D31">
        <w:t>.</w:t>
      </w:r>
    </w:p>
    <w:p w14:paraId="07F58093" w14:textId="77777777" w:rsidR="00BE431B" w:rsidRDefault="00E77449">
      <w:r>
        <w:t xml:space="preserve">Bringing these two </w:t>
      </w:r>
      <w:r w:rsidR="00C40637">
        <w:t>features</w:t>
      </w:r>
      <w:r>
        <w:t xml:space="preserve"> together, </w:t>
      </w:r>
      <w:r w:rsidR="00A468BB">
        <w:t xml:space="preserve">post-tax NPV </w:t>
      </w:r>
      <w:r>
        <w:t xml:space="preserve">for the investor </w:t>
      </w:r>
      <w:r w:rsidR="00A468BB">
        <w:t>remains at zero: -$1000 + $1050/1.05.</w:t>
      </w:r>
      <w:r>
        <w:t xml:space="preserve"> </w:t>
      </w:r>
      <w:r w:rsidR="00C40637">
        <w:t xml:space="preserve">The marginal viability of the </w:t>
      </w:r>
      <w:r w:rsidR="00D77E48">
        <w:t xml:space="preserve">investment </w:t>
      </w:r>
      <w:r w:rsidR="000D5EB6">
        <w:t>need not be</w:t>
      </w:r>
      <w:r w:rsidR="00C40637">
        <w:t xml:space="preserve"> </w:t>
      </w:r>
      <w:r w:rsidR="00D77E48">
        <w:t xml:space="preserve">affected by the income tax. </w:t>
      </w:r>
      <w:r>
        <w:t>Swan</w:t>
      </w:r>
      <w:r w:rsidR="00377D22">
        <w:t>,</w:t>
      </w:r>
      <w:r w:rsidR="004E3FD0">
        <w:t xml:space="preserve"> for example, explains</w:t>
      </w:r>
      <w:r w:rsidR="00377D22">
        <w:t xml:space="preserve"> the</w:t>
      </w:r>
      <w:r>
        <w:t xml:space="preserve"> “</w:t>
      </w:r>
      <w:r w:rsidR="00377D22">
        <w:t>apparent paradox that a tax which distorts consumption</w:t>
      </w:r>
      <w:r w:rsidR="00377D22">
        <w:noBreakHyphen/>
        <w:t>savings decisions does not also distort investment decisions</w:t>
      </w:r>
      <w:r>
        <w:t>”</w:t>
      </w:r>
      <w:r>
        <w:rPr>
          <w:rStyle w:val="FootnoteReference"/>
        </w:rPr>
        <w:footnoteReference w:id="3"/>
      </w:r>
      <w:r w:rsidR="00084E7B">
        <w:t xml:space="preserve"> </w:t>
      </w:r>
      <w:r w:rsidR="00377D22">
        <w:t>.</w:t>
      </w:r>
      <w:r w:rsidR="00147ED1">
        <w:t xml:space="preserve"> </w:t>
      </w:r>
      <w:r w:rsidR="00377D22">
        <w:t>He says</w:t>
      </w:r>
      <w:r w:rsidR="00A74373">
        <w:t>,</w:t>
      </w:r>
      <w:r w:rsidR="00377D22">
        <w:t xml:space="preserve"> “Ultimately, the neutrality of the tax can be seen to arise from the fact that while returns are taxed the opportunity cost of funds is reduced in the same proportion”</w:t>
      </w:r>
      <w:r w:rsidR="00377D22">
        <w:rPr>
          <w:rStyle w:val="FootnoteReference"/>
        </w:rPr>
        <w:footnoteReference w:id="4"/>
      </w:r>
      <w:r w:rsidR="00377D22">
        <w:t>.</w:t>
      </w:r>
      <w:r w:rsidR="004E3FD0">
        <w:t xml:space="preserve"> Samuelson</w:t>
      </w:r>
      <w:r w:rsidR="004E3FD0">
        <w:rPr>
          <w:rStyle w:val="FootnoteReference"/>
        </w:rPr>
        <w:footnoteReference w:id="5"/>
      </w:r>
      <w:r w:rsidR="004E3FD0">
        <w:t xml:space="preserve"> </w:t>
      </w:r>
      <w:r w:rsidR="001A10D3">
        <w:t>derives the same result</w:t>
      </w:r>
      <w:r w:rsidR="004E3FD0">
        <w:t>.</w:t>
      </w:r>
    </w:p>
    <w:p w14:paraId="07F58094" w14:textId="77777777" w:rsidR="00147ED1" w:rsidRDefault="009A3CC0">
      <w:r>
        <w:lastRenderedPageBreak/>
        <w:t>The consumption/saving distortion from income taxation comes from the very fact that the income from invest</w:t>
      </w:r>
      <w:r w:rsidR="00457928">
        <w:t>ing</w:t>
      </w:r>
      <w:r>
        <w:t xml:space="preserve"> (</w:t>
      </w:r>
      <w:r w:rsidR="00EA4002">
        <w:t>or</w:t>
      </w:r>
      <w:r>
        <w:t xml:space="preserve">, saving) is being taxed. The </w:t>
      </w:r>
      <w:r w:rsidR="00457928">
        <w:t xml:space="preserve">welfare </w:t>
      </w:r>
      <w:r w:rsidR="00D864C2">
        <w:t>‘</w:t>
      </w:r>
      <w:r>
        <w:t>damage</w:t>
      </w:r>
      <w:r w:rsidR="00D864C2">
        <w:t>’</w:t>
      </w:r>
      <w:r>
        <w:t xml:space="preserve"> </w:t>
      </w:r>
      <w:r w:rsidR="00EA4002">
        <w:t xml:space="preserve">of income taxation </w:t>
      </w:r>
      <w:r>
        <w:t xml:space="preserve">measured by modelling </w:t>
      </w:r>
      <w:r w:rsidR="00D864C2">
        <w:t xml:space="preserve">might be expected to </w:t>
      </w:r>
      <w:r w:rsidR="00BF1A48">
        <w:t xml:space="preserve">reflect </w:t>
      </w:r>
      <w:r w:rsidR="00E926A5">
        <w:t>the impact of</w:t>
      </w:r>
      <w:r>
        <w:t xml:space="preserve"> this </w:t>
      </w:r>
      <w:r w:rsidR="00E926A5">
        <w:t xml:space="preserve">general </w:t>
      </w:r>
      <w:r>
        <w:t xml:space="preserve">distortion. </w:t>
      </w:r>
      <w:r w:rsidR="00D864C2">
        <w:t>With such measures</w:t>
      </w:r>
      <w:r w:rsidR="00B26D96">
        <w:t>, i</w:t>
      </w:r>
      <w:r w:rsidR="00EA4002">
        <w:t xml:space="preserve">t is important </w:t>
      </w:r>
      <w:r>
        <w:t>that the modelling factors in the impact that income taxation has on investors’ discount rates</w:t>
      </w:r>
      <w:r w:rsidR="007B27CA">
        <w:rPr>
          <w:rStyle w:val="FootnoteReference"/>
        </w:rPr>
        <w:footnoteReference w:id="6"/>
      </w:r>
      <w:r w:rsidR="00763EA6">
        <w:t xml:space="preserve"> - rather </w:t>
      </w:r>
      <w:r w:rsidR="00CD7C44">
        <w:t xml:space="preserve">than </w:t>
      </w:r>
      <w:r w:rsidR="00005261">
        <w:t>embedding an investment-neutral requirement that has</w:t>
      </w:r>
      <w:r w:rsidR="00CD7C44">
        <w:t xml:space="preserve"> </w:t>
      </w:r>
      <w:r w:rsidR="00D864C2">
        <w:t>required post-</w:t>
      </w:r>
      <w:r w:rsidR="00CD7C44">
        <w:t>tax return match</w:t>
      </w:r>
      <w:r w:rsidR="00005261">
        <w:t>ing</w:t>
      </w:r>
      <w:r w:rsidR="00CD7C44">
        <w:t xml:space="preserve"> pre-tax return</w:t>
      </w:r>
      <w:r w:rsidR="00005261">
        <w:t>s</w:t>
      </w:r>
      <w:r w:rsidR="00CD7C44">
        <w:t xml:space="preserve"> (</w:t>
      </w:r>
      <w:r w:rsidR="00005261">
        <w:t xml:space="preserve">the requirement suggested on </w:t>
      </w:r>
      <w:r w:rsidR="000D2201">
        <w:t>pages</w:t>
      </w:r>
      <w:r w:rsidR="00CD7C44">
        <w:t xml:space="preserve"> 61-62</w:t>
      </w:r>
      <w:r w:rsidR="0057506E">
        <w:t xml:space="preserve"> of the interim report</w:t>
      </w:r>
      <w:r w:rsidR="00D864C2">
        <w:t>, for example</w:t>
      </w:r>
      <w:r w:rsidR="00CD7C44">
        <w:t xml:space="preserve">).  </w:t>
      </w:r>
      <w:r>
        <w:t xml:space="preserve"> </w:t>
      </w:r>
      <w:r w:rsidR="00147ED1">
        <w:t xml:space="preserve">  </w:t>
      </w:r>
    </w:p>
    <w:p w14:paraId="07F58095" w14:textId="77777777" w:rsidR="008F1309" w:rsidRDefault="007D4040">
      <w:r>
        <w:t xml:space="preserve"> </w:t>
      </w:r>
      <w:r w:rsidR="00975EF9">
        <w:t xml:space="preserve">Finally, the </w:t>
      </w:r>
      <w:r w:rsidR="00782E71">
        <w:t>neutrality chart</w:t>
      </w:r>
      <w:r w:rsidR="00975EF9">
        <w:t xml:space="preserve"> not only </w:t>
      </w:r>
      <w:r w:rsidR="006C6364">
        <w:t>illustrates the investment-neutrality properties of</w:t>
      </w:r>
      <w:r w:rsidR="00975EF9">
        <w:t xml:space="preserve"> income tax via unchanged investment NPV. The </w:t>
      </w:r>
      <w:r w:rsidR="00782E71">
        <w:t>neutrality chart</w:t>
      </w:r>
      <w:r w:rsidR="00975EF9">
        <w:t xml:space="preserve"> also underpins the idea that well-designed </w:t>
      </w:r>
      <w:r w:rsidR="00EF6545">
        <w:t>income tax</w:t>
      </w:r>
      <w:r w:rsidR="000D2201">
        <w:t>ation</w:t>
      </w:r>
      <w:r w:rsidR="00EF6545">
        <w:t xml:space="preserve"> can reduce the general 10% pa pre-tax return </w:t>
      </w:r>
      <w:r w:rsidR="00AA73CE">
        <w:t>(</w:t>
      </w:r>
      <w:r w:rsidR="00BF1A48">
        <w:t xml:space="preserve">again, </w:t>
      </w:r>
      <w:r w:rsidR="00AA73CE">
        <w:t xml:space="preserve">risk aside) </w:t>
      </w:r>
      <w:r w:rsidR="00EF6545">
        <w:t xml:space="preserve">across alternative </w:t>
      </w:r>
      <w:r w:rsidR="00D864C2">
        <w:t xml:space="preserve">marginal </w:t>
      </w:r>
      <w:r w:rsidR="00EF6545">
        <w:t>investment to a 5% pa return everywhere for the investor on a 50% tax rate. Regardless of the area of investment – financial, property, mining, manufacturing, widgets, and so on – from tax-neutral</w:t>
      </w:r>
      <w:r w:rsidR="0057506E">
        <w:t>ity</w:t>
      </w:r>
      <w:r w:rsidR="00EF6545">
        <w:t xml:space="preserve"> and, therefore, </w:t>
      </w:r>
      <w:r w:rsidR="00005261">
        <w:t>efficiency/</w:t>
      </w:r>
      <w:r w:rsidR="00EF6545">
        <w:t>productivity perspectives, design of the income tax base would ideally achieve such</w:t>
      </w:r>
      <w:r w:rsidR="008F1309">
        <w:t xml:space="preserve"> a relationship between pre- and post-tax returns.</w:t>
      </w:r>
      <w:r w:rsidR="00152878">
        <w:rPr>
          <w:rStyle w:val="FootnoteReference"/>
        </w:rPr>
        <w:footnoteReference w:id="7"/>
      </w:r>
    </w:p>
    <w:p w14:paraId="07F58096" w14:textId="77777777" w:rsidR="00790848" w:rsidRDefault="00790848">
      <w:r>
        <w:t xml:space="preserve">Certainly, </w:t>
      </w:r>
      <w:r w:rsidR="00C16341">
        <w:t xml:space="preserve">to reiterate, </w:t>
      </w:r>
      <w:r>
        <w:t xml:space="preserve">the quality of income tax design cannot be judged, as the </w:t>
      </w:r>
      <w:r w:rsidR="000D2201">
        <w:t xml:space="preserve">interim </w:t>
      </w:r>
      <w:r>
        <w:t xml:space="preserve">report seems to do, on the degree to which after-tax </w:t>
      </w:r>
      <w:r w:rsidR="00C16341">
        <w:t xml:space="preserve">investment </w:t>
      </w:r>
      <w:r>
        <w:t xml:space="preserve">returns align with pre-tax returns.  </w:t>
      </w:r>
    </w:p>
    <w:p w14:paraId="07F58097" w14:textId="77777777" w:rsidR="00DC2B77" w:rsidRDefault="008F1309">
      <w:r>
        <w:t xml:space="preserve">Worked examples showing tax-neutral outcomes for investments in </w:t>
      </w:r>
      <w:r w:rsidR="00763EA6">
        <w:t>wasting</w:t>
      </w:r>
      <w:r>
        <w:t xml:space="preserve"> assets where tax depreciation matches actual decline in value may be found in Mayo</w:t>
      </w:r>
      <w:r w:rsidR="000837F0">
        <w:rPr>
          <w:rStyle w:val="FootnoteReference"/>
        </w:rPr>
        <w:footnoteReference w:id="8"/>
      </w:r>
      <w:r w:rsidR="00B506A5">
        <w:t xml:space="preserve"> and</w:t>
      </w:r>
      <w:r>
        <w:t xml:space="preserve"> </w:t>
      </w:r>
      <w:r w:rsidR="00C91C08">
        <w:t>‘</w:t>
      </w:r>
      <w:r w:rsidR="008629D5">
        <w:t>Draft White Paper</w:t>
      </w:r>
      <w:r w:rsidR="00C91C08">
        <w:t>’</w:t>
      </w:r>
      <w:r w:rsidR="007E35FE">
        <w:rPr>
          <w:rStyle w:val="FootnoteReference"/>
        </w:rPr>
        <w:footnoteReference w:id="9"/>
      </w:r>
      <w:r w:rsidR="009E423E">
        <w:t>. T</w:t>
      </w:r>
      <w:r>
        <w:t>he</w:t>
      </w:r>
      <w:r w:rsidR="009E423E">
        <w:t xml:space="preserve"> </w:t>
      </w:r>
      <w:r w:rsidR="00C91C08">
        <w:t>‘</w:t>
      </w:r>
      <w:r w:rsidR="009E423E">
        <w:t xml:space="preserve">Ralph </w:t>
      </w:r>
      <w:r w:rsidR="00AA73CE">
        <w:t>p</w:t>
      </w:r>
      <w:r w:rsidR="009E423E">
        <w:t>latform</w:t>
      </w:r>
      <w:r w:rsidR="00C91C08">
        <w:t>’</w:t>
      </w:r>
      <w:r w:rsidR="009E423E">
        <w:t xml:space="preserve"> discusses “the mechanisms that might be used to achieve … in a consistent way across the full range of wasting assets” effective life depreciation “directed at allowing the taxpayer to deduct an estimate of the actual decline in value of the asset in each year.”</w:t>
      </w:r>
      <w:r w:rsidR="009E423E">
        <w:rPr>
          <w:rStyle w:val="FootnoteReference"/>
        </w:rPr>
        <w:footnoteReference w:id="10"/>
      </w:r>
      <w:r w:rsidR="00303193">
        <w:t xml:space="preserve"> That discussion was a prelude to our unified effective-live depreciation system, recommended by the </w:t>
      </w:r>
      <w:r w:rsidR="00C91C08">
        <w:t>‘</w:t>
      </w:r>
      <w:r w:rsidR="00303193">
        <w:t>Ralph review</w:t>
      </w:r>
      <w:r w:rsidR="00C91C08">
        <w:t>’</w:t>
      </w:r>
      <w:r w:rsidR="003244E5">
        <w:rPr>
          <w:rStyle w:val="FootnoteReference"/>
        </w:rPr>
        <w:footnoteReference w:id="11"/>
      </w:r>
      <w:r w:rsidR="00BF1A48">
        <w:t>. That unified</w:t>
      </w:r>
      <w:r w:rsidR="006D2293">
        <w:t xml:space="preserve"> system </w:t>
      </w:r>
      <w:r w:rsidR="00303193">
        <w:t>subsumed a multitude of write-off regimes and replaced accelerated depreciation</w:t>
      </w:r>
      <w:r w:rsidR="00EF6545">
        <w:t xml:space="preserve"> </w:t>
      </w:r>
      <w:r w:rsidR="006D4337">
        <w:rPr>
          <w:rStyle w:val="FootnoteReference"/>
        </w:rPr>
        <w:footnoteReference w:id="12"/>
      </w:r>
      <w:r w:rsidR="009D6E5E">
        <w:t>.</w:t>
      </w:r>
    </w:p>
    <w:p w14:paraId="07F58098" w14:textId="77777777" w:rsidR="002F4111" w:rsidRDefault="002F4111">
      <w:pPr>
        <w:rPr>
          <w:b/>
          <w:i/>
        </w:rPr>
      </w:pPr>
    </w:p>
    <w:p w14:paraId="07F58099" w14:textId="77777777" w:rsidR="00DC2B77" w:rsidRPr="008F0EA0" w:rsidRDefault="00DC2B77">
      <w:pPr>
        <w:rPr>
          <w:b/>
          <w:i/>
        </w:rPr>
      </w:pPr>
      <w:r w:rsidRPr="008F0EA0">
        <w:rPr>
          <w:b/>
          <w:i/>
        </w:rPr>
        <w:lastRenderedPageBreak/>
        <w:t>Cash flow tax</w:t>
      </w:r>
    </w:p>
    <w:p w14:paraId="07F5809A" w14:textId="77777777" w:rsidR="008C0BC3" w:rsidRDefault="00FA29B6">
      <w:r w:rsidRPr="00FA29B6">
        <w:rPr>
          <w:u w:val="single"/>
        </w:rPr>
        <w:t>Planned investments</w:t>
      </w:r>
      <w:r>
        <w:t xml:space="preserve">. </w:t>
      </w:r>
      <w:r w:rsidR="00DC2B77">
        <w:t xml:space="preserve">The </w:t>
      </w:r>
      <w:r w:rsidR="00782E71">
        <w:t>neutrality chart</w:t>
      </w:r>
      <w:r w:rsidR="00DC2B77">
        <w:t xml:space="preserve"> shows</w:t>
      </w:r>
      <w:r w:rsidR="00AA73CE">
        <w:t xml:space="preserve"> that, with </w:t>
      </w:r>
      <w:r w:rsidR="00E3639A">
        <w:t>a ‘pure’</w:t>
      </w:r>
      <w:r w:rsidR="00AA73CE">
        <w:t xml:space="preserve"> cash flow tax (CFT)</w:t>
      </w:r>
      <w:r w:rsidR="00E3639A">
        <w:rPr>
          <w:rStyle w:val="FootnoteReference"/>
        </w:rPr>
        <w:footnoteReference w:id="13"/>
      </w:r>
      <w:r w:rsidR="00DC2B77">
        <w:t xml:space="preserve">, immediate write-off </w:t>
      </w:r>
      <w:r w:rsidR="00AA73CE">
        <w:t xml:space="preserve">is </w:t>
      </w:r>
      <w:r w:rsidR="008C0BC3">
        <w:t xml:space="preserve">allowed for </w:t>
      </w:r>
      <w:r w:rsidR="00DC2B77">
        <w:t>the $1000 of capital expenditure on the widget-producing machine (in sharp contrast to income tax design)</w:t>
      </w:r>
      <w:r w:rsidR="008C0BC3">
        <w:t>. It</w:t>
      </w:r>
      <w:r w:rsidR="00DC2B77">
        <w:t xml:space="preserve"> also </w:t>
      </w:r>
      <w:r w:rsidR="008C0BC3">
        <w:t xml:space="preserve">has </w:t>
      </w:r>
      <w:r w:rsidR="00DC2B77">
        <w:t>the investor immediately</w:t>
      </w:r>
      <w:r w:rsidR="008C0BC3">
        <w:t xml:space="preserve"> </w:t>
      </w:r>
      <w:r w:rsidR="006D6BB4">
        <w:t xml:space="preserve">receiving back $500: </w:t>
      </w:r>
      <w:r w:rsidR="008C0BC3">
        <w:t>the value of the associated tax loss (negative cash flow) equal to the $1000 loss times the tax’s 50% tax rate</w:t>
      </w:r>
      <w:r w:rsidR="00AA73CE">
        <w:t xml:space="preserve"> (the rate of the CFT, not the investor’s personal income tax rate)</w:t>
      </w:r>
      <w:r w:rsidR="008C0BC3">
        <w:t>. That $500</w:t>
      </w:r>
      <w:r w:rsidR="00C91C08">
        <w:t xml:space="preserve"> </w:t>
      </w:r>
      <w:r w:rsidR="00C91C08" w:rsidRPr="0099641F">
        <w:rPr>
          <w:i/>
          <w:u w:val="single"/>
        </w:rPr>
        <w:t>immediate</w:t>
      </w:r>
      <w:r w:rsidR="008C0BC3" w:rsidRPr="0099641F">
        <w:rPr>
          <w:u w:val="single"/>
        </w:rPr>
        <w:t xml:space="preserve"> </w:t>
      </w:r>
      <w:r w:rsidR="00C91C08" w:rsidRPr="0099641F">
        <w:rPr>
          <w:u w:val="single"/>
        </w:rPr>
        <w:t>‘</w:t>
      </w:r>
      <w:r w:rsidR="008C0BC3" w:rsidRPr="0099641F">
        <w:rPr>
          <w:i/>
          <w:u w:val="single"/>
        </w:rPr>
        <w:t>full loss offset</w:t>
      </w:r>
      <w:r w:rsidR="00C91C08" w:rsidRPr="0099641F">
        <w:rPr>
          <w:u w:val="single"/>
        </w:rPr>
        <w:t>’</w:t>
      </w:r>
      <w:r w:rsidR="008C0BC3">
        <w:t xml:space="preserve"> comes either from </w:t>
      </w:r>
      <w:r w:rsidR="009D6E5E">
        <w:t>a</w:t>
      </w:r>
      <w:r w:rsidR="008C0BC3">
        <w:t xml:space="preserve"> government </w:t>
      </w:r>
      <w:r w:rsidR="009D6E5E">
        <w:t xml:space="preserve">refund </w:t>
      </w:r>
      <w:r w:rsidR="008C0BC3">
        <w:t>or from the writing off of the loss against positive cash flow from the taxpayer’s other investments</w:t>
      </w:r>
      <w:r w:rsidR="00C91C08">
        <w:t xml:space="preserve"> in the cash flow tax net</w:t>
      </w:r>
      <w:r w:rsidR="008C0BC3">
        <w:t>.</w:t>
      </w:r>
      <w:r w:rsidR="00DC2B77">
        <w:t xml:space="preserve"> </w:t>
      </w:r>
    </w:p>
    <w:p w14:paraId="07F5809B" w14:textId="77777777" w:rsidR="00790848" w:rsidRDefault="008C0BC3">
      <w:r>
        <w:t xml:space="preserve">The draft report </w:t>
      </w:r>
      <w:r w:rsidR="00072139">
        <w:t>suggests that t</w:t>
      </w:r>
      <w:r>
        <w:t xml:space="preserve">his immediate write-off </w:t>
      </w:r>
      <w:r w:rsidR="00072139">
        <w:t xml:space="preserve">would </w:t>
      </w:r>
      <w:r>
        <w:t>encourag</w:t>
      </w:r>
      <w:r w:rsidR="00C91C08">
        <w:t>es</w:t>
      </w:r>
      <w:r>
        <w:t xml:space="preserve"> investment</w:t>
      </w:r>
      <w:r w:rsidR="00DC2B77">
        <w:t xml:space="preserve"> </w:t>
      </w:r>
      <w:r>
        <w:t xml:space="preserve">– even though, </w:t>
      </w:r>
      <w:r w:rsidR="009D6E5E">
        <w:t>minimi</w:t>
      </w:r>
      <w:r w:rsidR="00A67244">
        <w:t xml:space="preserve">sing adverse </w:t>
      </w:r>
      <w:r>
        <w:t xml:space="preserve">efficiency </w:t>
      </w:r>
      <w:r w:rsidR="00A67244">
        <w:t xml:space="preserve">or productivity effects </w:t>
      </w:r>
      <w:r w:rsidR="00072139">
        <w:t>involves</w:t>
      </w:r>
      <w:r w:rsidR="00A67244">
        <w:t xml:space="preserve"> </w:t>
      </w:r>
      <w:r>
        <w:t>collect</w:t>
      </w:r>
      <w:r w:rsidR="00072139">
        <w:t>ing</w:t>
      </w:r>
      <w:r>
        <w:t xml:space="preserve"> tax </w:t>
      </w:r>
      <w:r w:rsidR="00A67244">
        <w:t>in ways that have</w:t>
      </w:r>
      <w:r>
        <w:t xml:space="preserve"> minimal impact on </w:t>
      </w:r>
      <w:r w:rsidR="00A5569B">
        <w:t xml:space="preserve">pre-tax </w:t>
      </w:r>
      <w:r>
        <w:t>investment decisions.</w:t>
      </w:r>
      <w:r w:rsidR="00790848">
        <w:t xml:space="preserve"> </w:t>
      </w:r>
      <w:r w:rsidR="00A5569B">
        <w:t xml:space="preserve">The </w:t>
      </w:r>
      <w:r w:rsidR="00782E71">
        <w:t>neutrality chart</w:t>
      </w:r>
      <w:r w:rsidR="00A5569B">
        <w:t xml:space="preserve"> shows what is on the other side of this immediate full loss offset: </w:t>
      </w:r>
      <w:r w:rsidR="00790848">
        <w:t>$550 of tax</w:t>
      </w:r>
      <w:r w:rsidR="00A5569B">
        <w:t xml:space="preserve"> </w:t>
      </w:r>
      <w:r w:rsidR="00032C1D">
        <w:t xml:space="preserve">paid </w:t>
      </w:r>
      <w:r w:rsidR="000D2201">
        <w:t xml:space="preserve">on </w:t>
      </w:r>
      <w:r w:rsidR="00A5569B">
        <w:t>all the positive cash flow at end Year 2 from the annual net receipts produced and the sale price of the widget machine.</w:t>
      </w:r>
      <w:r w:rsidR="000B5BED">
        <w:t xml:space="preserve"> As with the pure income tax, the CFT is aimed at minimising </w:t>
      </w:r>
      <w:r w:rsidR="00072139">
        <w:t>the</w:t>
      </w:r>
      <w:r w:rsidR="000B5BED">
        <w:t xml:space="preserve"> impact on decision-making in the absence of the tax</w:t>
      </w:r>
      <w:r w:rsidR="00A67244">
        <w:t xml:space="preserve">, not somehow improving productivity </w:t>
      </w:r>
      <w:r w:rsidR="001D3779">
        <w:t>because of its immediate expensing</w:t>
      </w:r>
      <w:r w:rsidR="00423AB5">
        <w:t xml:space="preserve"> of capital expenditure</w:t>
      </w:r>
      <w:r w:rsidR="000B5BED">
        <w:t>.</w:t>
      </w:r>
    </w:p>
    <w:p w14:paraId="07F5809C" w14:textId="77777777" w:rsidR="00032C1D" w:rsidRDefault="00162CE0">
      <w:r>
        <w:t>T</w:t>
      </w:r>
      <w:r w:rsidR="00790848">
        <w:t xml:space="preserve">he </w:t>
      </w:r>
      <w:r w:rsidR="000B5BED">
        <w:t>CFT</w:t>
      </w:r>
      <w:r w:rsidR="00790848">
        <w:t xml:space="preserve"> maintain</w:t>
      </w:r>
      <w:r w:rsidR="000D2201">
        <w:t>s</w:t>
      </w:r>
      <w:r w:rsidR="00790848">
        <w:t xml:space="preserve"> the 10% pa pre-tax return after tax. That is because </w:t>
      </w:r>
      <w:r w:rsidR="006D6BB4">
        <w:t>it</w:t>
      </w:r>
      <w:r w:rsidR="00790848">
        <w:t xml:space="preserve"> does not tax the going 10% pa return at all.</w:t>
      </w:r>
      <w:r w:rsidR="00032C1D">
        <w:t xml:space="preserve"> Discounting at 10% the $550 of tax at end Year 2 back to end Year 1 gives $500 – the amount of tax revenue given up at that time. From the perspective of the investor using a</w:t>
      </w:r>
      <w:r w:rsidR="000D2201">
        <w:t>n unchanged</w:t>
      </w:r>
      <w:r w:rsidR="00032C1D">
        <w:t xml:space="preserve"> 10% pa discount rate, no net tax is payable at all on a planned investment in widget machines.</w:t>
      </w:r>
      <w:r w:rsidR="004C2002">
        <w:t xml:space="preserve"> Post-tax NPV matches the zero pre-tax NPV.</w:t>
      </w:r>
      <w:r>
        <w:t xml:space="preserve"> Rather than encouraging investment, the tax should not affect marginal investments. That is the same aim of pure income tax</w:t>
      </w:r>
      <w:r w:rsidR="000D2201">
        <w:t>ation</w:t>
      </w:r>
      <w:r>
        <w:t xml:space="preserve">, even though </w:t>
      </w:r>
      <w:r w:rsidR="000D2201">
        <w:t xml:space="preserve">that </w:t>
      </w:r>
      <w:r>
        <w:t xml:space="preserve">does tax the normal return (10% pa in the </w:t>
      </w:r>
      <w:r w:rsidR="00782E71">
        <w:t>neutrality chart</w:t>
      </w:r>
      <w:r>
        <w:t xml:space="preserve">) of </w:t>
      </w:r>
      <w:r w:rsidR="00976C6A">
        <w:t xml:space="preserve">the </w:t>
      </w:r>
      <w:r>
        <w:t xml:space="preserve">marginal investment. </w:t>
      </w:r>
    </w:p>
    <w:p w14:paraId="07F5809D" w14:textId="77777777" w:rsidR="00032C1D" w:rsidRDefault="00162CE0">
      <w:r>
        <w:t xml:space="preserve">Under the </w:t>
      </w:r>
      <w:r w:rsidR="00976C6A">
        <w:t>CFT</w:t>
      </w:r>
      <w:r>
        <w:t>, o</w:t>
      </w:r>
      <w:r w:rsidR="00032C1D">
        <w:t>nly expected cash flows in Year 2 that produce a return higher than 10% over the year would be viewed as being taxed by the investor</w:t>
      </w:r>
      <w:r w:rsidR="00A86083">
        <w:t xml:space="preserve"> applying a 10% pa discount rate</w:t>
      </w:r>
      <w:r w:rsidR="004C2002">
        <w:t>. Then</w:t>
      </w:r>
      <w:r w:rsidR="00A86083">
        <w:t>,</w:t>
      </w:r>
      <w:r w:rsidR="004C2002">
        <w:t xml:space="preserve"> post-tax NPV would equal pre-tax NPV cut in proportion to the tax rate. As the </w:t>
      </w:r>
      <w:r w:rsidR="00976C6A">
        <w:t>interim</w:t>
      </w:r>
      <w:r w:rsidR="004C2002">
        <w:t xml:space="preserve"> report note</w:t>
      </w:r>
      <w:r w:rsidR="00A86083">
        <w:t>s</w:t>
      </w:r>
      <w:r w:rsidR="004C2002">
        <w:t xml:space="preserve">, </w:t>
      </w:r>
      <w:r w:rsidR="006D6BB4">
        <w:t>such a</w:t>
      </w:r>
      <w:r w:rsidR="004C2002">
        <w:t xml:space="preserve"> cut in NPV could affect global investors </w:t>
      </w:r>
      <w:r w:rsidR="00976C6A">
        <w:t xml:space="preserve">who are </w:t>
      </w:r>
      <w:r w:rsidR="004C2002">
        <w:t xml:space="preserve">assessing investments with similar above-normal profits in Australia and another country if the </w:t>
      </w:r>
      <w:r w:rsidR="000F5B02">
        <w:t xml:space="preserve">other </w:t>
      </w:r>
      <w:r w:rsidR="004C2002">
        <w:t xml:space="preserve">country did not impose an additional </w:t>
      </w:r>
      <w:r w:rsidR="00976C6A">
        <w:t>CFT</w:t>
      </w:r>
      <w:r w:rsidR="00072139">
        <w:t xml:space="preserve"> – an effect particularly relevant to our large, profitable companies</w:t>
      </w:r>
      <w:r w:rsidR="004C2002">
        <w:t>.</w:t>
      </w:r>
    </w:p>
    <w:p w14:paraId="07F5809E" w14:textId="77777777" w:rsidR="009A6EF8" w:rsidRDefault="009A6EF8" w:rsidP="009A6EF8">
      <w:r>
        <w:t xml:space="preserve">Up-front cash refunds for losses under a CFT could be replaced, </w:t>
      </w:r>
      <w:r w:rsidR="00763EA6">
        <w:t>while seeking to maintain</w:t>
      </w:r>
      <w:r>
        <w:t xml:space="preserve"> tax-neutral outcomes, by carrying </w:t>
      </w:r>
      <w:r w:rsidR="00072139">
        <w:t xml:space="preserve">any CFT </w:t>
      </w:r>
      <w:r>
        <w:t xml:space="preserve">losses forward with interest (uplift). As implied in the interim report, in circumstances where it is certain that the value of those uplifted losses will eventually be fully recouped, the uplift rate would be the long term bond rate (LTBR). Again, this </w:t>
      </w:r>
      <w:r w:rsidRPr="0099641F">
        <w:rPr>
          <w:i/>
          <w:u w:val="single"/>
        </w:rPr>
        <w:t>delayed full loss offset</w:t>
      </w:r>
      <w:r>
        <w:t xml:space="preserve"> would be effected either by the uplifted loss being offset against positive cash flow or by government providing a refund equal to the uplifted loss times the tax rate, if necessary.</w:t>
      </w:r>
    </w:p>
    <w:p w14:paraId="07F5809F" w14:textId="77777777" w:rsidR="009A6EF8" w:rsidRDefault="009A6EF8" w:rsidP="009A6EF8">
      <w:r>
        <w:t xml:space="preserve">Under </w:t>
      </w:r>
      <w:r w:rsidR="00763EA6">
        <w:t xml:space="preserve">CFT with </w:t>
      </w:r>
      <w:r>
        <w:t xml:space="preserve">delayed full loss offset, investors need to take into account two assets when assessing investment viability: the risky investment asset as usual; plus, a risk-free asset comprising ‘loans’ to government for up-front CFT refunds not paid for in each year of negative cash flow – with </w:t>
      </w:r>
      <w:r>
        <w:lastRenderedPageBreak/>
        <w:t>subsequent acquittal of those loans occurring over time. Mixing together the cash flows of the two assets leads to faulty investment evaluation.</w:t>
      </w:r>
      <w:r>
        <w:rPr>
          <w:rStyle w:val="FootnoteReference"/>
        </w:rPr>
        <w:footnoteReference w:id="14"/>
      </w:r>
    </w:p>
    <w:p w14:paraId="07F580A0" w14:textId="77777777" w:rsidR="008F0EA0" w:rsidRDefault="00FA29B6">
      <w:r w:rsidRPr="00FA29B6">
        <w:rPr>
          <w:u w:val="single"/>
        </w:rPr>
        <w:t>Existing investments</w:t>
      </w:r>
      <w:r>
        <w:t xml:space="preserve">. </w:t>
      </w:r>
      <w:r w:rsidR="00E85544">
        <w:t>I</w:t>
      </w:r>
      <w:r w:rsidR="00287A55">
        <w:t xml:space="preserve">nvestments that are already underway when </w:t>
      </w:r>
      <w:r w:rsidR="00E85544">
        <w:t xml:space="preserve">a </w:t>
      </w:r>
      <w:r w:rsidR="00976C6A">
        <w:t>CFT</w:t>
      </w:r>
      <w:r w:rsidR="00287A55">
        <w:t xml:space="preserve"> is introduced</w:t>
      </w:r>
      <w:r w:rsidR="00E85544">
        <w:t xml:space="preserve"> deserve particular attention</w:t>
      </w:r>
      <w:r w:rsidR="00287A55">
        <w:t xml:space="preserve">. </w:t>
      </w:r>
    </w:p>
    <w:p w14:paraId="07F580A1" w14:textId="77777777" w:rsidR="005F736F" w:rsidRDefault="008F0EA0">
      <w:r>
        <w:t xml:space="preserve">The investor in the </w:t>
      </w:r>
      <w:r w:rsidR="00782E71">
        <w:t>neutrality chart</w:t>
      </w:r>
      <w:r>
        <w:t xml:space="preserve"> would not be happy if</w:t>
      </w:r>
      <w:r w:rsidR="005F736F">
        <w:t>,</w:t>
      </w:r>
      <w:r>
        <w:t xml:space="preserve"> having invested the $1000 in the widgets machine at end Year 1, the cash flow tax w</w:t>
      </w:r>
      <w:r w:rsidR="005F736F">
        <w:t>ere</w:t>
      </w:r>
      <w:r>
        <w:t xml:space="preserve"> unexpectedly introduced before end Year 2.</w:t>
      </w:r>
      <w:r w:rsidR="005F736F">
        <w:t xml:space="preserve"> The investor would be taxed on the positive Year 2 cash flow, leaving the investor with a net $550</w:t>
      </w:r>
      <w:r w:rsidR="0050682A">
        <w:t>,</w:t>
      </w:r>
      <w:r w:rsidR="005F736F">
        <w:t xml:space="preserve"> but would </w:t>
      </w:r>
      <w:r w:rsidR="00D439EA">
        <w:t>have go</w:t>
      </w:r>
      <w:r w:rsidR="005F736F">
        <w:t xml:space="preserve">t no tax </w:t>
      </w:r>
      <w:r w:rsidR="00D838A0">
        <w:t>reduction</w:t>
      </w:r>
      <w:r w:rsidR="005F736F">
        <w:t xml:space="preserve"> for the up-front negative $1000 cash flow. The </w:t>
      </w:r>
      <w:r w:rsidR="00D439EA">
        <w:t xml:space="preserve">post-tax </w:t>
      </w:r>
      <w:r w:rsidR="005F736F">
        <w:t xml:space="preserve">discounted value of the $550 at </w:t>
      </w:r>
      <w:r w:rsidR="008009BB">
        <w:t>end</w:t>
      </w:r>
      <w:r w:rsidR="005F736F">
        <w:t xml:space="preserve"> Year </w:t>
      </w:r>
      <w:r w:rsidR="008009BB">
        <w:t>1</w:t>
      </w:r>
      <w:r w:rsidR="005F736F">
        <w:t xml:space="preserve"> is then $500. </w:t>
      </w:r>
      <w:r w:rsidR="00D439EA">
        <w:t>Absent a $1000 up-front deduction, a</w:t>
      </w:r>
      <w:r w:rsidR="005F736F">
        <w:t xml:space="preserve"> capital levy equal to the 50% </w:t>
      </w:r>
      <w:r w:rsidR="0050682A">
        <w:t xml:space="preserve">CFT </w:t>
      </w:r>
      <w:r w:rsidR="005F736F">
        <w:t>tax rate would have been imposed on the investor</w:t>
      </w:r>
      <w:r w:rsidR="0014137F">
        <w:t>’s existing investment</w:t>
      </w:r>
      <w:r w:rsidR="005F736F">
        <w:t>.</w:t>
      </w:r>
      <w:r w:rsidR="0014137F">
        <w:rPr>
          <w:rStyle w:val="FootnoteReference"/>
        </w:rPr>
        <w:footnoteReference w:id="15"/>
      </w:r>
      <w:r w:rsidR="0014137F">
        <w:t xml:space="preserve"> </w:t>
      </w:r>
    </w:p>
    <w:p w14:paraId="07F580A2" w14:textId="77777777" w:rsidR="00DA7079" w:rsidRPr="00E85544" w:rsidRDefault="0050682A">
      <w:pPr>
        <w:rPr>
          <w:b/>
          <w:i/>
        </w:rPr>
      </w:pPr>
      <w:r>
        <w:rPr>
          <w:b/>
          <w:i/>
        </w:rPr>
        <w:t xml:space="preserve">Phase </w:t>
      </w:r>
      <w:r w:rsidR="00F645B7">
        <w:rPr>
          <w:b/>
          <w:i/>
        </w:rPr>
        <w:t>2</w:t>
      </w:r>
      <w:r>
        <w:rPr>
          <w:b/>
          <w:i/>
        </w:rPr>
        <w:t>:</w:t>
      </w:r>
      <w:r w:rsidR="00F645B7">
        <w:rPr>
          <w:b/>
          <w:i/>
        </w:rPr>
        <w:t xml:space="preserve"> </w:t>
      </w:r>
      <w:r>
        <w:rPr>
          <w:b/>
          <w:i/>
        </w:rPr>
        <w:t>b</w:t>
      </w:r>
      <w:r w:rsidR="00DA7079" w:rsidRPr="00E85544">
        <w:rPr>
          <w:b/>
          <w:i/>
        </w:rPr>
        <w:t xml:space="preserve">lending </w:t>
      </w:r>
      <w:r w:rsidR="00E85544" w:rsidRPr="00E85544">
        <w:rPr>
          <w:b/>
          <w:i/>
        </w:rPr>
        <w:t xml:space="preserve">pure </w:t>
      </w:r>
      <w:r w:rsidR="00DA7079" w:rsidRPr="00E85544">
        <w:rPr>
          <w:b/>
          <w:i/>
        </w:rPr>
        <w:t>cash flow and company taxes</w:t>
      </w:r>
    </w:p>
    <w:p w14:paraId="07F580A3" w14:textId="77777777" w:rsidR="00872546" w:rsidRDefault="00872546">
      <w:r>
        <w:t>T</w:t>
      </w:r>
      <w:r w:rsidR="00DA7079">
        <w:t>he tax-neutral</w:t>
      </w:r>
      <w:r w:rsidR="00BA2AEE">
        <w:t xml:space="preserve"> </w:t>
      </w:r>
      <w:r w:rsidR="0024614A">
        <w:t>outcomes</w:t>
      </w:r>
      <w:r w:rsidR="00DA7079">
        <w:t xml:space="preserve"> of both the </w:t>
      </w:r>
      <w:r>
        <w:t xml:space="preserve">pure </w:t>
      </w:r>
      <w:r w:rsidR="00DA7079">
        <w:t xml:space="preserve">cash flow and income taxes would </w:t>
      </w:r>
      <w:r w:rsidR="000F5B02">
        <w:t xml:space="preserve">ideally </w:t>
      </w:r>
      <w:r w:rsidR="00DA7079">
        <w:t>be maintained when blended together.</w:t>
      </w:r>
    </w:p>
    <w:p w14:paraId="07F580A4" w14:textId="77777777" w:rsidR="004911E1" w:rsidRDefault="00D439EA">
      <w:r w:rsidRPr="00D439EA">
        <w:rPr>
          <w:u w:val="single"/>
        </w:rPr>
        <w:t>CFT with immediate loss offset</w:t>
      </w:r>
      <w:r>
        <w:t xml:space="preserve">. </w:t>
      </w:r>
      <w:r w:rsidR="00872546">
        <w:t xml:space="preserve">With the </w:t>
      </w:r>
      <w:r w:rsidR="00F57416">
        <w:t>CFT</w:t>
      </w:r>
      <w:r w:rsidR="00872546">
        <w:t xml:space="preserve"> applied before income tax, it may seem logical </w:t>
      </w:r>
      <w:r w:rsidR="00FA29B6">
        <w:t xml:space="preserve">simply </w:t>
      </w:r>
      <w:r w:rsidR="00872546">
        <w:t>to add any government refunds for negative cash flows to taxpayer</w:t>
      </w:r>
      <w:r w:rsidR="00FA29B6">
        <w:t>s</w:t>
      </w:r>
      <w:r w:rsidR="00872546">
        <w:t xml:space="preserve">’ income tax assessments and allow as income tax deductions payments of </w:t>
      </w:r>
      <w:r w:rsidR="00FD7B2D">
        <w:t>CFT</w:t>
      </w:r>
      <w:r w:rsidR="00872546">
        <w:t>. That design would not, however, achieve a</w:t>
      </w:r>
      <w:r w:rsidR="0031574F">
        <w:t xml:space="preserve"> blended</w:t>
      </w:r>
      <w:r w:rsidR="00872546">
        <w:t xml:space="preserve"> tax-neutral outcome.</w:t>
      </w:r>
      <w:r w:rsidR="0031574F">
        <w:rPr>
          <w:rStyle w:val="FootnoteReference"/>
        </w:rPr>
        <w:footnoteReference w:id="16"/>
      </w:r>
      <w:r w:rsidR="00DA7079">
        <w:t xml:space="preserve"> </w:t>
      </w:r>
      <w:r w:rsidR="004911E1">
        <w:t xml:space="preserve">    </w:t>
      </w:r>
    </w:p>
    <w:p w14:paraId="07F580A5" w14:textId="77777777" w:rsidR="00C43A14" w:rsidRDefault="0031574F">
      <w:r>
        <w:t>Blended tax neutrality would require post-</w:t>
      </w:r>
      <w:r w:rsidR="0073097B">
        <w:t>CFT cash flows to feed into investor</w:t>
      </w:r>
      <w:r w:rsidR="00FA29B6">
        <w:t>s</w:t>
      </w:r>
      <w:r w:rsidR="0073097B">
        <w:t>’ income tax assessment</w:t>
      </w:r>
      <w:r w:rsidR="00FA29B6">
        <w:t>s</w:t>
      </w:r>
      <w:r w:rsidR="0073097B">
        <w:t>.</w:t>
      </w:r>
      <w:r w:rsidR="0073097B">
        <w:rPr>
          <w:rStyle w:val="FootnoteReference"/>
        </w:rPr>
        <w:footnoteReference w:id="17"/>
      </w:r>
      <w:r w:rsidR="005F736F">
        <w:t xml:space="preserve"> </w:t>
      </w:r>
      <w:r w:rsidR="00770DB2">
        <w:t xml:space="preserve">In the </w:t>
      </w:r>
      <w:r w:rsidR="00782E71">
        <w:t>neutrality chart</w:t>
      </w:r>
      <w:r w:rsidR="00770DB2">
        <w:t>, that would see post-CFT flows with zero NPV feeding into income taxation</w:t>
      </w:r>
      <w:r w:rsidR="006A19DE">
        <w:t>. That would</w:t>
      </w:r>
      <w:r w:rsidR="00770DB2">
        <w:t xml:space="preserve"> maintain NPV at zero</w:t>
      </w:r>
      <w:r w:rsidR="006A19DE">
        <w:t xml:space="preserve"> after both taxes</w:t>
      </w:r>
      <w:r w:rsidR="00770DB2">
        <w:t xml:space="preserve"> (or 10% pre-tax return, maintained through the CFT and cut to 5% by income taxation). </w:t>
      </w:r>
      <w:r w:rsidR="0073097B">
        <w:t xml:space="preserve">That mirrors the way </w:t>
      </w:r>
      <w:r w:rsidR="00E02F88">
        <w:t xml:space="preserve">cash flows after </w:t>
      </w:r>
      <w:r w:rsidR="00F57416">
        <w:t>our</w:t>
      </w:r>
      <w:r w:rsidR="00E02F88">
        <w:t xml:space="preserve"> Goods and Services Tax (GST)</w:t>
      </w:r>
      <w:r w:rsidR="006A19DE">
        <w:t xml:space="preserve"> feed into businesses’ income tax assessments</w:t>
      </w:r>
      <w:r w:rsidR="00DF3144">
        <w:t xml:space="preserve"> </w:t>
      </w:r>
      <w:r w:rsidR="006A19DE">
        <w:t>(</w:t>
      </w:r>
      <w:r w:rsidR="00E02F88">
        <w:t xml:space="preserve">that is, </w:t>
      </w:r>
      <w:r w:rsidR="006762FA">
        <w:t xml:space="preserve">purchases </w:t>
      </w:r>
      <w:r w:rsidR="0073097B">
        <w:t>and receipts net of GST refunds and payments, respectively</w:t>
      </w:r>
      <w:r w:rsidR="006A19DE">
        <w:t>)</w:t>
      </w:r>
      <w:r w:rsidR="0073097B">
        <w:t>.</w:t>
      </w:r>
      <w:r w:rsidR="00E02F88">
        <w:t xml:space="preserve"> Cash flow taxes and the GST are all part of the broad expenditure tax family.</w:t>
      </w:r>
      <w:r w:rsidR="0024614A">
        <w:rPr>
          <w:rStyle w:val="FootnoteReference"/>
        </w:rPr>
        <w:footnoteReference w:id="18"/>
      </w:r>
      <w:r w:rsidR="00E02F88">
        <w:t xml:space="preserve"> </w:t>
      </w:r>
    </w:p>
    <w:p w14:paraId="07F580A6" w14:textId="77777777" w:rsidR="00D249CE" w:rsidRDefault="00D249CE">
      <w:r>
        <w:t xml:space="preserve">The </w:t>
      </w:r>
      <w:r w:rsidR="00F57416">
        <w:t>CFT</w:t>
      </w:r>
      <w:r>
        <w:t xml:space="preserve"> part of the </w:t>
      </w:r>
      <w:r w:rsidR="00782E71">
        <w:t>neutrality chart</w:t>
      </w:r>
      <w:r>
        <w:t xml:space="preserve"> illustrates how</w:t>
      </w:r>
      <w:r w:rsidR="00E02F88">
        <w:t>,</w:t>
      </w:r>
      <w:r>
        <w:t xml:space="preserve"> in this </w:t>
      </w:r>
      <w:r w:rsidR="00DF3144">
        <w:t>tax-</w:t>
      </w:r>
      <w:r>
        <w:t>neutral blending of the two taxes, the presence of the pre-income tax CFT shrinks the cash flows that feed into income taxation.</w:t>
      </w:r>
      <w:r w:rsidR="00DA0C60">
        <w:t xml:space="preserve"> </w:t>
      </w:r>
      <w:r w:rsidR="008933D5">
        <w:t xml:space="preserve">Mayo demonstrates that </w:t>
      </w:r>
      <w:r w:rsidR="00DF3144">
        <w:t xml:space="preserve">outcome </w:t>
      </w:r>
      <w:r w:rsidR="008933D5">
        <w:t>in tabular and graphical form</w:t>
      </w:r>
      <w:r w:rsidR="00873544">
        <w:t>.</w:t>
      </w:r>
      <w:r w:rsidR="008933D5">
        <w:rPr>
          <w:rStyle w:val="FootnoteReference"/>
        </w:rPr>
        <w:footnoteReference w:id="19"/>
      </w:r>
      <w:r w:rsidR="008933D5">
        <w:t xml:space="preserve"> </w:t>
      </w:r>
      <w:r w:rsidR="00DF3144">
        <w:t>With m</w:t>
      </w:r>
      <w:r w:rsidR="00DA0C60">
        <w:t>arginal investment</w:t>
      </w:r>
      <w:r w:rsidR="00DF3144">
        <w:t>s, cash flows being subjected to income tax are</w:t>
      </w:r>
      <w:r w:rsidR="00DA0C60">
        <w:t xml:space="preserve"> shr</w:t>
      </w:r>
      <w:r w:rsidR="00DF3144">
        <w:t>u</w:t>
      </w:r>
      <w:r w:rsidR="00DA0C60">
        <w:t>nk</w:t>
      </w:r>
      <w:r w:rsidR="00DF3144">
        <w:t xml:space="preserve"> by the CFT </w:t>
      </w:r>
      <w:r w:rsidR="00DA0C60">
        <w:t>even though no CFT tax is paid.</w:t>
      </w:r>
      <w:r w:rsidR="00873544">
        <w:rPr>
          <w:rStyle w:val="FootnoteReference"/>
        </w:rPr>
        <w:footnoteReference w:id="20"/>
      </w:r>
      <w:r w:rsidR="00DA0C60">
        <w:t xml:space="preserve"> It is the more </w:t>
      </w:r>
      <w:r w:rsidR="00DA0C60">
        <w:lastRenderedPageBreak/>
        <w:t>profitable investment</w:t>
      </w:r>
      <w:r w:rsidR="00200E72">
        <w:t>s</w:t>
      </w:r>
      <w:r w:rsidR="00DA0C60">
        <w:t xml:space="preserve"> that contribute </w:t>
      </w:r>
      <w:r w:rsidR="00E02F88">
        <w:t>CFT</w:t>
      </w:r>
      <w:r w:rsidR="00DA0C60">
        <w:t xml:space="preserve"> revenue from the proportion of cash flows excised </w:t>
      </w:r>
      <w:r w:rsidR="00DF3144">
        <w:t xml:space="preserve">from income tax </w:t>
      </w:r>
      <w:r w:rsidR="00DA0C60">
        <w:t xml:space="preserve">by </w:t>
      </w:r>
      <w:r w:rsidR="00E02F88">
        <w:t>the CFT</w:t>
      </w:r>
      <w:r w:rsidR="00DA0C60">
        <w:t>.</w:t>
      </w:r>
      <w:r w:rsidR="00556918">
        <w:rPr>
          <w:rStyle w:val="FootnoteReference"/>
        </w:rPr>
        <w:footnoteReference w:id="21"/>
      </w:r>
      <w:r>
        <w:t xml:space="preserve">    </w:t>
      </w:r>
    </w:p>
    <w:p w14:paraId="07F580A7" w14:textId="77777777" w:rsidR="0063058B" w:rsidRDefault="00A15514">
      <w:r w:rsidRPr="00A15514">
        <w:rPr>
          <w:u w:val="single"/>
        </w:rPr>
        <w:t>CFT with delayed loss offset</w:t>
      </w:r>
      <w:r>
        <w:t xml:space="preserve">. Under a CFT with delayed loss offset applied together with income tax, the risky project and risk-free assets not only need to be separated for correct investment evaluation. </w:t>
      </w:r>
      <w:r w:rsidR="009D336F">
        <w:t xml:space="preserve">These two assets should </w:t>
      </w:r>
      <w:r w:rsidR="00F139C4">
        <w:t xml:space="preserve">ideally </w:t>
      </w:r>
      <w:r>
        <w:t xml:space="preserve">also </w:t>
      </w:r>
      <w:r w:rsidR="009D336F">
        <w:t>be assessed separately</w:t>
      </w:r>
      <w:r>
        <w:t xml:space="preserve"> for income tax purposes</w:t>
      </w:r>
      <w:r w:rsidR="00200E72">
        <w:t xml:space="preserve">, with the risky investment asset treated as if </w:t>
      </w:r>
      <w:r w:rsidR="0014619E">
        <w:t>a CFT</w:t>
      </w:r>
      <w:r w:rsidR="00776987">
        <w:t xml:space="preserve"> with immediate loss offset</w:t>
      </w:r>
      <w:r w:rsidR="00200E72">
        <w:t xml:space="preserve"> were in place</w:t>
      </w:r>
      <w:r w:rsidR="00085651">
        <w:t>.</w:t>
      </w:r>
      <w:r w:rsidR="00AD68A8">
        <w:rPr>
          <w:rStyle w:val="FootnoteReference"/>
        </w:rPr>
        <w:footnoteReference w:id="22"/>
      </w:r>
      <w:r w:rsidR="00AD68A8">
        <w:t xml:space="preserve"> </w:t>
      </w:r>
      <w:r w:rsidR="009D7E23">
        <w:t>I</w:t>
      </w:r>
      <w:r w:rsidR="00085651">
        <w:t xml:space="preserve">n the </w:t>
      </w:r>
      <w:r w:rsidR="009D7E23">
        <w:t xml:space="preserve">likely </w:t>
      </w:r>
      <w:r w:rsidR="00085651">
        <w:t xml:space="preserve">event that the risk-free asset is not separately assessed for income tax purposes, the uplift rate </w:t>
      </w:r>
      <w:r w:rsidR="006A0508">
        <w:t>would ideally</w:t>
      </w:r>
      <w:r w:rsidR="00085651">
        <w:t xml:space="preserve"> be after-income tax LTBR</w:t>
      </w:r>
      <w:r w:rsidR="009D7E23">
        <w:t xml:space="preserve"> (LTBR cut by the investor’s income tax rate)</w:t>
      </w:r>
      <w:r w:rsidR="00085651">
        <w:t>, not LTBR.</w:t>
      </w:r>
      <w:r w:rsidR="009D7E23">
        <w:rPr>
          <w:rStyle w:val="FootnoteReference"/>
        </w:rPr>
        <w:footnoteReference w:id="23"/>
      </w:r>
      <w:r w:rsidR="00AD68A8">
        <w:t xml:space="preserve"> </w:t>
      </w:r>
    </w:p>
    <w:p w14:paraId="07F580A8" w14:textId="77777777" w:rsidR="00FD7B2D" w:rsidRDefault="00FD7B2D">
      <w:r>
        <w:t>The 40% resource super profits tax (RSPT), based on design in the Henry review</w:t>
      </w:r>
      <w:r>
        <w:rPr>
          <w:rStyle w:val="FootnoteReference"/>
        </w:rPr>
        <w:footnoteReference w:id="24"/>
      </w:r>
      <w:r>
        <w:t xml:space="preserve"> and proposed in 2010 by the Australian Government</w:t>
      </w:r>
      <w:r>
        <w:rPr>
          <w:rStyle w:val="FootnoteReference"/>
        </w:rPr>
        <w:footnoteReference w:id="25"/>
      </w:r>
      <w:r>
        <w:t xml:space="preserve">, is a form of CFT with </w:t>
      </w:r>
      <w:r w:rsidRPr="00626B71">
        <w:t>delayed full loss offset</w:t>
      </w:r>
      <w:r>
        <w:t>.</w:t>
      </w:r>
      <w:r w:rsidR="001F50A9">
        <w:rPr>
          <w:rStyle w:val="FootnoteReference"/>
        </w:rPr>
        <w:footnoteReference w:id="26"/>
      </w:r>
      <w:r w:rsidR="00254F67">
        <w:t xml:space="preserve"> </w:t>
      </w:r>
      <w:r w:rsidR="00A15514">
        <w:t>In contrast to ideal treatment</w:t>
      </w:r>
      <w:r>
        <w:t xml:space="preserve">, </w:t>
      </w:r>
      <w:r w:rsidR="00626B71">
        <w:t xml:space="preserve">however, </w:t>
      </w:r>
      <w:r>
        <w:t>RSPT refunds and RSPT payments were proposed to be assessable and deductible for income tax purposes</w:t>
      </w:r>
      <w:r w:rsidR="00CC5327">
        <w:t>, re</w:t>
      </w:r>
      <w:r w:rsidR="001D3779">
        <w:t>s</w:t>
      </w:r>
      <w:r w:rsidR="00CC5327">
        <w:t>pectively</w:t>
      </w:r>
      <w:r w:rsidR="00776987">
        <w:t xml:space="preserve"> – with </w:t>
      </w:r>
      <w:r w:rsidR="00A15514">
        <w:t xml:space="preserve">uplift </w:t>
      </w:r>
      <w:r w:rsidR="00776987">
        <w:t>set at</w:t>
      </w:r>
      <w:r w:rsidR="00A15514">
        <w:t xml:space="preserve"> LTBR </w:t>
      </w:r>
      <w:r w:rsidR="00776987">
        <w:t>(a level</w:t>
      </w:r>
      <w:r w:rsidR="00A15514">
        <w:t xml:space="preserve"> which few accepted or understood</w:t>
      </w:r>
      <w:r w:rsidR="008E582D">
        <w:rPr>
          <w:rStyle w:val="FootnoteReference"/>
        </w:rPr>
        <w:footnoteReference w:id="27"/>
      </w:r>
      <w:r w:rsidR="00776987">
        <w:t>)</w:t>
      </w:r>
      <w:r w:rsidR="00A15514">
        <w:t xml:space="preserve">. </w:t>
      </w:r>
      <w:r w:rsidR="00254F67">
        <w:t>The RSPT was to apply to existing companies and, consequently, the capital levy question was a significant issue with that tax.</w:t>
      </w:r>
    </w:p>
    <w:p w14:paraId="07F580A9" w14:textId="77777777" w:rsidR="0063058B" w:rsidRDefault="008E5A7D">
      <w:pPr>
        <w:rPr>
          <w:b/>
        </w:rPr>
      </w:pPr>
      <w:r>
        <w:rPr>
          <w:b/>
        </w:rPr>
        <w:t xml:space="preserve">Phase </w:t>
      </w:r>
      <w:r w:rsidR="00F645B7">
        <w:rPr>
          <w:b/>
        </w:rPr>
        <w:t>3</w:t>
      </w:r>
      <w:r>
        <w:rPr>
          <w:b/>
        </w:rPr>
        <w:t>:</w:t>
      </w:r>
      <w:r w:rsidR="00F645B7">
        <w:rPr>
          <w:b/>
        </w:rPr>
        <w:t xml:space="preserve"> </w:t>
      </w:r>
      <w:r w:rsidR="00561BB7">
        <w:rPr>
          <w:b/>
        </w:rPr>
        <w:t>assess the proposed NCT and its combination with our full imputation system</w:t>
      </w:r>
    </w:p>
    <w:p w14:paraId="07F580AA" w14:textId="77777777" w:rsidR="007C3B7A" w:rsidRPr="007C3B7A" w:rsidRDefault="007C3B7A">
      <w:pPr>
        <w:rPr>
          <w:b/>
          <w:i/>
        </w:rPr>
      </w:pPr>
      <w:r w:rsidRPr="007C3B7A">
        <w:rPr>
          <w:b/>
          <w:i/>
        </w:rPr>
        <w:t>Income tax</w:t>
      </w:r>
    </w:p>
    <w:p w14:paraId="07F580AB" w14:textId="77777777" w:rsidR="00750E54" w:rsidRDefault="0021303C">
      <w:r>
        <w:t>The treatment of investments under o</w:t>
      </w:r>
      <w:r w:rsidR="00561BB7" w:rsidRPr="00561BB7">
        <w:t xml:space="preserve">ur income tax base does not </w:t>
      </w:r>
      <w:r>
        <w:t>always</w:t>
      </w:r>
      <w:r w:rsidR="00327854">
        <w:t xml:space="preserve"> </w:t>
      </w:r>
      <w:r w:rsidR="00561BB7" w:rsidRPr="00561BB7">
        <w:t>match the tax-neutral</w:t>
      </w:r>
      <w:r w:rsidR="00561BB7">
        <w:t xml:space="preserve"> ideal described in the </w:t>
      </w:r>
      <w:r w:rsidR="00782E71">
        <w:t>neutrality chart</w:t>
      </w:r>
      <w:r w:rsidR="00561BB7">
        <w:t>.</w:t>
      </w:r>
      <w:r w:rsidR="005B6680">
        <w:rPr>
          <w:rStyle w:val="FootnoteReference"/>
        </w:rPr>
        <w:footnoteReference w:id="28"/>
      </w:r>
      <w:r w:rsidR="00561BB7">
        <w:t xml:space="preserve"> </w:t>
      </w:r>
      <w:r w:rsidR="00750E54">
        <w:t xml:space="preserve">Nevertheless, there has been much progress over recent decades </w:t>
      </w:r>
      <w:r w:rsidR="0050663D">
        <w:t xml:space="preserve">to better </w:t>
      </w:r>
      <w:r w:rsidR="00750E54">
        <w:t>align changing tax values</w:t>
      </w:r>
      <w:r w:rsidR="00626B71">
        <w:t xml:space="preserve"> applied in the law </w:t>
      </w:r>
      <w:r w:rsidR="00750E54">
        <w:t xml:space="preserve">with changing </w:t>
      </w:r>
      <w:r w:rsidR="00626B71">
        <w:t xml:space="preserve">actual </w:t>
      </w:r>
      <w:r w:rsidR="00750E54">
        <w:t xml:space="preserve">values of </w:t>
      </w:r>
      <w:r w:rsidR="0072145A">
        <w:t xml:space="preserve">investment </w:t>
      </w:r>
      <w:r w:rsidR="00750E54">
        <w:t>assets and liabilities</w:t>
      </w:r>
      <w:r w:rsidR="0050663D">
        <w:t>. Examples of this progress include</w:t>
      </w:r>
      <w:r w:rsidR="00071AC2">
        <w:t xml:space="preserve"> the</w:t>
      </w:r>
      <w:r w:rsidR="0050663D">
        <w:t xml:space="preserve">: </w:t>
      </w:r>
      <w:r w:rsidR="00071AC2">
        <w:t>(1)</w:t>
      </w:r>
      <w:r w:rsidR="0050663D">
        <w:t xml:space="preserve"> generally-applicable capital gains tax </w:t>
      </w:r>
      <w:r w:rsidR="009C4A7A">
        <w:t xml:space="preserve">(CGT) </w:t>
      </w:r>
      <w:r w:rsidR="0050663D">
        <w:t>regime</w:t>
      </w:r>
      <w:r w:rsidR="000B403B">
        <w:t>, introduced on recommendation of the 1985 Draft White Paper and revised following the 1999 Ralph review</w:t>
      </w:r>
      <w:r w:rsidR="000B403B">
        <w:rPr>
          <w:rStyle w:val="FootnoteReference"/>
        </w:rPr>
        <w:footnoteReference w:id="29"/>
      </w:r>
      <w:r w:rsidR="0050663D">
        <w:t xml:space="preserve">; </w:t>
      </w:r>
      <w:r w:rsidR="00071AC2">
        <w:t xml:space="preserve">(2) </w:t>
      </w:r>
      <w:r w:rsidR="0050663D">
        <w:t>system-wide sound treatment of depreciation (accrued capital losses) for wasting assets</w:t>
      </w:r>
      <w:r w:rsidR="00454318">
        <w:t xml:space="preserve"> (</w:t>
      </w:r>
      <w:r>
        <w:t>consistent</w:t>
      </w:r>
      <w:r w:rsidR="00454318">
        <w:t xml:space="preserve"> with the example used in the </w:t>
      </w:r>
      <w:r w:rsidR="00782E71">
        <w:t>neutrality chart</w:t>
      </w:r>
      <w:r w:rsidR="00454318">
        <w:t>)</w:t>
      </w:r>
      <w:r w:rsidR="000B403B">
        <w:t xml:space="preserve"> following </w:t>
      </w:r>
      <w:r w:rsidR="00423AB5">
        <w:t xml:space="preserve">recommendations of </w:t>
      </w:r>
      <w:r w:rsidR="000B403B">
        <w:t>the Ralph review</w:t>
      </w:r>
      <w:r w:rsidR="0050663D">
        <w:t>; and</w:t>
      </w:r>
      <w:r w:rsidR="00071AC2">
        <w:t>, (3)</w:t>
      </w:r>
      <w:r w:rsidR="0050663D">
        <w:t xml:space="preserve"> regime for financial assets and liabilities</w:t>
      </w:r>
      <w:r w:rsidR="009C4A7A">
        <w:t xml:space="preserve"> (TOFA)</w:t>
      </w:r>
      <w:r w:rsidR="000B403B">
        <w:t>, first legislated in 2009, followed by ongoing legislative change</w:t>
      </w:r>
      <w:r w:rsidR="0050663D">
        <w:t xml:space="preserve">. </w:t>
      </w:r>
      <w:r w:rsidR="00561BB7">
        <w:t xml:space="preserve"> </w:t>
      </w:r>
    </w:p>
    <w:p w14:paraId="07F580AC" w14:textId="77777777" w:rsidR="00F943FA" w:rsidRDefault="0050663D">
      <w:r>
        <w:lastRenderedPageBreak/>
        <w:t>Moreover</w:t>
      </w:r>
      <w:r w:rsidR="00561BB7">
        <w:t xml:space="preserve">, under our full imputation arrangements, when our companies </w:t>
      </w:r>
      <w:r w:rsidR="00F943FA">
        <w:t>distribute immediately to local shareholders taxable income from local sources (as franked dividends plus franking credits)</w:t>
      </w:r>
      <w:r>
        <w:t>,</w:t>
      </w:r>
      <w:r w:rsidR="00F943FA">
        <w:t xml:space="preserve"> those shareholders are taxed on the companies’ initial </w:t>
      </w:r>
      <w:r w:rsidR="002324E4">
        <w:t xml:space="preserve">annual </w:t>
      </w:r>
      <w:r w:rsidR="00F943FA">
        <w:t xml:space="preserve">taxable income at their personal tax rates. That outcome is consistent with our treatment of </w:t>
      </w:r>
      <w:r w:rsidR="002324E4">
        <w:t>individuals investing directly or via unincorporated businesses or</w:t>
      </w:r>
      <w:r w:rsidR="00F943FA">
        <w:t xml:space="preserve"> trusts – and the ideal treatment in the </w:t>
      </w:r>
      <w:r w:rsidR="00782E71">
        <w:t>neutrality chart</w:t>
      </w:r>
      <w:r w:rsidR="00F943FA">
        <w:t>.</w:t>
      </w:r>
      <w:r w:rsidR="001379E0">
        <w:rPr>
          <w:rStyle w:val="FootnoteReference"/>
        </w:rPr>
        <w:footnoteReference w:id="30"/>
      </w:r>
    </w:p>
    <w:p w14:paraId="07F580AD" w14:textId="77777777" w:rsidR="007C3B7A" w:rsidRPr="007C3B7A" w:rsidRDefault="007C3B7A">
      <w:pPr>
        <w:rPr>
          <w:b/>
          <w:i/>
        </w:rPr>
      </w:pPr>
      <w:r w:rsidRPr="007C3B7A">
        <w:rPr>
          <w:b/>
          <w:i/>
        </w:rPr>
        <w:t>Net cashflow tax (NCT)</w:t>
      </w:r>
    </w:p>
    <w:p w14:paraId="07F580AE" w14:textId="77777777" w:rsidR="00E463BD" w:rsidRDefault="007C3B7A">
      <w:r w:rsidRPr="00DA4614">
        <w:rPr>
          <w:u w:val="single"/>
        </w:rPr>
        <w:t>New companies</w:t>
      </w:r>
      <w:r>
        <w:t xml:space="preserve">. </w:t>
      </w:r>
      <w:r w:rsidR="00327854">
        <w:t xml:space="preserve">Viewed first </w:t>
      </w:r>
      <w:r w:rsidR="000B403B">
        <w:t>in isolation</w:t>
      </w:r>
      <w:r w:rsidR="00327854">
        <w:t>, t</w:t>
      </w:r>
      <w:r w:rsidR="00F943FA">
        <w:t>he NCT is not a pure CFT because the value of NCT losses is not guaranteed to be recouped.</w:t>
      </w:r>
      <w:r w:rsidR="00545872">
        <w:rPr>
          <w:rStyle w:val="FootnoteReference"/>
        </w:rPr>
        <w:footnoteReference w:id="31"/>
      </w:r>
      <w:r w:rsidR="00F943FA">
        <w:t xml:space="preserve"> </w:t>
      </w:r>
      <w:r w:rsidR="00AE5A0E">
        <w:t xml:space="preserve">Nevertheless, design of the NCT is consistent with </w:t>
      </w:r>
      <w:r w:rsidR="0021303C">
        <w:t>CFT</w:t>
      </w:r>
      <w:r w:rsidR="00AE5A0E">
        <w:t xml:space="preserve"> design that seeks to raise tax revenue in a way that has minimal impact on investment decision-making (rather than, as </w:t>
      </w:r>
      <w:r w:rsidR="00590B55">
        <w:t>suggested</w:t>
      </w:r>
      <w:r w:rsidR="00AE5A0E">
        <w:t xml:space="preserve"> by the interim report, encourage</w:t>
      </w:r>
      <w:r w:rsidR="00590B55">
        <w:t>s</w:t>
      </w:r>
      <w:r w:rsidR="00AE5A0E">
        <w:t xml:space="preserve"> investment). </w:t>
      </w:r>
    </w:p>
    <w:p w14:paraId="07F580AF" w14:textId="77777777" w:rsidR="009C4A7A" w:rsidRDefault="00AE5A0E" w:rsidP="009C4A7A">
      <w:r>
        <w:t>Moreover</w:t>
      </w:r>
      <w:r w:rsidR="00F943FA">
        <w:t xml:space="preserve">, as the interim report notes, the </w:t>
      </w:r>
      <w:r w:rsidR="0050663D">
        <w:t>NCT would operate</w:t>
      </w:r>
      <w:r w:rsidR="00F943FA">
        <w:t xml:space="preserve"> like a CFT</w:t>
      </w:r>
      <w:r w:rsidR="00B233D8">
        <w:t xml:space="preserve"> </w:t>
      </w:r>
      <w:r w:rsidR="00E463BD">
        <w:t xml:space="preserve">with immediate loss offset </w:t>
      </w:r>
      <w:r w:rsidR="00B233D8">
        <w:t xml:space="preserve">for many large </w:t>
      </w:r>
      <w:r w:rsidR="001379E0">
        <w:t xml:space="preserve">or medium-sized </w:t>
      </w:r>
      <w:r w:rsidR="00B233D8">
        <w:t xml:space="preserve">companies </w:t>
      </w:r>
      <w:r w:rsidR="00327854">
        <w:t>that are highly profitable and operate</w:t>
      </w:r>
      <w:r w:rsidR="00B233D8">
        <w:t xml:space="preserve"> across </w:t>
      </w:r>
      <w:r w:rsidR="00327854">
        <w:t>a variety of</w:t>
      </w:r>
      <w:r w:rsidR="00B233D8">
        <w:t xml:space="preserve"> activities</w:t>
      </w:r>
      <w:r w:rsidR="001379E0">
        <w:t>.</w:t>
      </w:r>
      <w:r w:rsidR="00E463BD">
        <w:t xml:space="preserve"> </w:t>
      </w:r>
      <w:r w:rsidR="00F943FA">
        <w:t>And</w:t>
      </w:r>
      <w:r w:rsidR="00B233D8">
        <w:t>,</w:t>
      </w:r>
      <w:r w:rsidR="00F943FA">
        <w:t xml:space="preserve"> for any </w:t>
      </w:r>
      <w:r w:rsidR="00E463BD">
        <w:t>such</w:t>
      </w:r>
      <w:r w:rsidR="001379E0">
        <w:t xml:space="preserve"> </w:t>
      </w:r>
      <w:r w:rsidR="00F943FA">
        <w:t xml:space="preserve">company that does realise </w:t>
      </w:r>
      <w:r w:rsidR="0021303C">
        <w:t>temporary</w:t>
      </w:r>
      <w:r w:rsidR="00F943FA">
        <w:t xml:space="preserve"> negative cash flow</w:t>
      </w:r>
      <w:r w:rsidR="0021303C">
        <w:t xml:space="preserve">s over a number of </w:t>
      </w:r>
      <w:r w:rsidR="00AE2890">
        <w:t>year</w:t>
      </w:r>
      <w:r w:rsidR="0021303C">
        <w:t>s</w:t>
      </w:r>
      <w:r w:rsidR="00B233D8">
        <w:t>,</w:t>
      </w:r>
      <w:r w:rsidR="001379E0">
        <w:t xml:space="preserve"> say, because of large capital investments, </w:t>
      </w:r>
      <w:r w:rsidR="00AE2890">
        <w:t xml:space="preserve">carry-forward </w:t>
      </w:r>
      <w:r w:rsidR="001379E0">
        <w:t xml:space="preserve">of NCT losses </w:t>
      </w:r>
      <w:r w:rsidR="00AE2890">
        <w:t>with uplift may achieve the equivalent of delayed full loss offset.</w:t>
      </w:r>
      <w:r w:rsidR="009C4A7A">
        <w:t xml:space="preserve"> </w:t>
      </w:r>
      <w:r>
        <w:t>For companies</w:t>
      </w:r>
      <w:r w:rsidR="0021303C">
        <w:t xml:space="preserve"> in this situation</w:t>
      </w:r>
      <w:r>
        <w:t xml:space="preserve">, even given the risk of unrecouped NCT losses in NCT design, there is a case to be made for </w:t>
      </w:r>
      <w:r w:rsidR="0021303C">
        <w:t xml:space="preserve">uplift at </w:t>
      </w:r>
      <w:r>
        <w:t xml:space="preserve">post-tax LTBR to apply </w:t>
      </w:r>
      <w:r w:rsidR="0021303C">
        <w:t>to</w:t>
      </w:r>
      <w:r>
        <w:t xml:space="preserve"> NCT losses being carried forward</w:t>
      </w:r>
      <w:r w:rsidR="00357094">
        <w:t xml:space="preserve"> (</w:t>
      </w:r>
      <w:r w:rsidR="009C11C3">
        <w:t>assuming</w:t>
      </w:r>
      <w:r w:rsidR="00357094">
        <w:t xml:space="preserve"> the risk-free asset is not subject to income tax</w:t>
      </w:r>
      <w:r w:rsidR="009C11C3">
        <w:t>ation</w:t>
      </w:r>
      <w:r w:rsidR="00357094">
        <w:t>)</w:t>
      </w:r>
      <w:r>
        <w:t>.</w:t>
      </w:r>
      <w:r w:rsidRPr="002B0E71">
        <w:t xml:space="preserve"> </w:t>
      </w:r>
      <w:r>
        <w:rPr>
          <w:rStyle w:val="FootnoteReference"/>
        </w:rPr>
        <w:footnoteReference w:id="32"/>
      </w:r>
    </w:p>
    <w:p w14:paraId="07F580B0" w14:textId="77777777" w:rsidR="009C4A7A" w:rsidRDefault="00141ECF">
      <w:r>
        <w:t xml:space="preserve">These circumstances would, however, likely not be applicable to a very high proportion of small to medium companies. For such companies, the implicit loans to government are very risky. As with the Petroleum Resource Rent tax (PRRT), uplift rates </w:t>
      </w:r>
      <w:r w:rsidR="0021303C">
        <w:t xml:space="preserve">of LTBR or higher </w:t>
      </w:r>
      <w:r>
        <w:t xml:space="preserve">could be implemented with the NCT in an attempt to offset these risks. But, for many small to medium companies, regardless of the size of the uplift rate, there may never be sufficient </w:t>
      </w:r>
      <w:r w:rsidR="009B38C2">
        <w:t>future positive cash flows</w:t>
      </w:r>
      <w:r>
        <w:t xml:space="preserve"> to fully offset the carried-forward losses.</w:t>
      </w:r>
    </w:p>
    <w:p w14:paraId="07F580B1" w14:textId="77777777" w:rsidR="00C04995" w:rsidRDefault="00DA4614" w:rsidP="006119BA">
      <w:r w:rsidRPr="00DA4614">
        <w:rPr>
          <w:u w:val="single"/>
        </w:rPr>
        <w:t>Existing companies</w:t>
      </w:r>
      <w:r>
        <w:t xml:space="preserve">. </w:t>
      </w:r>
      <w:r w:rsidR="00C04995">
        <w:t>W</w:t>
      </w:r>
      <w:r w:rsidR="00B64188">
        <w:t xml:space="preserve">hen the NCT </w:t>
      </w:r>
      <w:r>
        <w:t>is</w:t>
      </w:r>
      <w:r w:rsidR="00B64188">
        <w:t xml:space="preserve"> introduced</w:t>
      </w:r>
      <w:r w:rsidR="00C04995">
        <w:t xml:space="preserve">, </w:t>
      </w:r>
      <w:r w:rsidR="00590B55">
        <w:t>as illustrated by the neutrality chart</w:t>
      </w:r>
      <w:r w:rsidR="00C04995">
        <w:t>, absent extra deduction</w:t>
      </w:r>
      <w:r w:rsidR="0021303C">
        <w:t>s</w:t>
      </w:r>
      <w:r w:rsidR="00C04995">
        <w:t xml:space="preserve"> allowed up front (‘starting base’</w:t>
      </w:r>
      <w:r w:rsidR="00590B55">
        <w:t xml:space="preserve"> or the report’s “starting balance”</w:t>
      </w:r>
      <w:r w:rsidR="00C04995">
        <w:t xml:space="preserve">), companies operating at that time would </w:t>
      </w:r>
      <w:r w:rsidR="00B64188">
        <w:t>have a 5% capital levy imposed on them</w:t>
      </w:r>
      <w:r w:rsidR="00BC3C60">
        <w:t>. That would be so even for small</w:t>
      </w:r>
      <w:r w:rsidR="0021303C">
        <w:t>, marginally-profitably</w:t>
      </w:r>
      <w:r w:rsidR="00BC3C60">
        <w:t xml:space="preserve"> companies</w:t>
      </w:r>
      <w:r w:rsidR="0021303C">
        <w:t xml:space="preserve">. </w:t>
      </w:r>
      <w:r w:rsidR="00D95E82">
        <w:t>Even such small</w:t>
      </w:r>
      <w:r w:rsidR="00BA491C">
        <w:t xml:space="preserve"> companies w</w:t>
      </w:r>
      <w:r w:rsidR="00BC3C60">
        <w:t>ould likely be cash flow positive</w:t>
      </w:r>
      <w:r w:rsidR="00C04995">
        <w:t xml:space="preserve"> at </w:t>
      </w:r>
      <w:r w:rsidR="00C04995">
        <w:lastRenderedPageBreak/>
        <w:t>the time</w:t>
      </w:r>
      <w:r w:rsidR="00B64188">
        <w:t xml:space="preserve">. </w:t>
      </w:r>
      <w:r w:rsidR="00C04995">
        <w:t>Absent suitable starting base</w:t>
      </w:r>
      <w:r w:rsidR="00BA491C">
        <w:t>s, as with more profitable companies,</w:t>
      </w:r>
      <w:r w:rsidR="00C04995">
        <w:t xml:space="preserve"> they would be paying NCT immediately. </w:t>
      </w:r>
    </w:p>
    <w:p w14:paraId="07F580B2" w14:textId="77777777" w:rsidR="000A2F07" w:rsidRDefault="00590B55" w:rsidP="006119BA">
      <w:r>
        <w:t>Again, a</w:t>
      </w:r>
      <w:r w:rsidR="00B64188">
        <w:t>s illustrated by the neutrality chart, r</w:t>
      </w:r>
      <w:r w:rsidR="006119BA">
        <w:t xml:space="preserve">emoving this initial </w:t>
      </w:r>
      <w:r w:rsidR="00C04995">
        <w:t xml:space="preserve">5% </w:t>
      </w:r>
      <w:r w:rsidR="006119BA">
        <w:t xml:space="preserve">impost would require </w:t>
      </w:r>
      <w:r w:rsidR="00BA491C">
        <w:t>positive</w:t>
      </w:r>
      <w:r w:rsidR="006119BA">
        <w:t xml:space="preserve"> market value</w:t>
      </w:r>
      <w:r w:rsidR="00BA491C">
        <w:t>s</w:t>
      </w:r>
      <w:r w:rsidR="006119BA">
        <w:t xml:space="preserve"> of </w:t>
      </w:r>
      <w:r w:rsidR="00BA491C">
        <w:t xml:space="preserve">expected future non-financial cash flows of </w:t>
      </w:r>
      <w:r w:rsidR="006119BA">
        <w:t>existing companies</w:t>
      </w:r>
      <w:r w:rsidR="00B64188">
        <w:t xml:space="preserve"> </w:t>
      </w:r>
      <w:r w:rsidR="003B2FD2">
        <w:t>to be allowed as deduction</w:t>
      </w:r>
      <w:r w:rsidR="00BA491C">
        <w:t>s</w:t>
      </w:r>
      <w:r w:rsidR="006119BA">
        <w:t>.</w:t>
      </w:r>
      <w:r w:rsidR="00DA4614">
        <w:rPr>
          <w:rStyle w:val="FootnoteReference"/>
        </w:rPr>
        <w:footnoteReference w:id="33"/>
      </w:r>
      <w:r w:rsidR="006119BA">
        <w:t xml:space="preserve"> </w:t>
      </w:r>
      <w:r w:rsidR="00DA4614">
        <w:t>All of this</w:t>
      </w:r>
      <w:r w:rsidR="006119BA">
        <w:t xml:space="preserve"> would not be an insignificant administrative task.</w:t>
      </w:r>
      <w:r w:rsidR="00FF0997">
        <w:t xml:space="preserve"> And, allowing </w:t>
      </w:r>
      <w:r w:rsidR="00BA491C">
        <w:t>such starting bases</w:t>
      </w:r>
      <w:r w:rsidR="00FF0997">
        <w:t xml:space="preserve"> for </w:t>
      </w:r>
      <w:r w:rsidR="00BA491C">
        <w:t>all</w:t>
      </w:r>
      <w:r w:rsidR="00FF0997">
        <w:t xml:space="preserve"> companies which have positive up-front value</w:t>
      </w:r>
      <w:r w:rsidR="00BA491C">
        <w:t>s of future flows</w:t>
      </w:r>
      <w:r w:rsidR="00FF0997">
        <w:t xml:space="preserve"> would </w:t>
      </w:r>
      <w:r w:rsidR="00BA491C">
        <w:t>significantly reduce expected future NCT revenue</w:t>
      </w:r>
      <w:r w:rsidR="000A2F07">
        <w:t xml:space="preserve">. </w:t>
      </w:r>
    </w:p>
    <w:p w14:paraId="07F580B3" w14:textId="77777777" w:rsidR="000A2F07" w:rsidRDefault="006119BA" w:rsidP="006119BA">
      <w:r>
        <w:t>Not providing the extra deduction</w:t>
      </w:r>
      <w:r w:rsidR="00BA491C">
        <w:t>s</w:t>
      </w:r>
      <w:r>
        <w:t xml:space="preserve"> would </w:t>
      </w:r>
      <w:r w:rsidR="00DA4614">
        <w:t xml:space="preserve">certainly </w:t>
      </w:r>
      <w:r>
        <w:t xml:space="preserve">raise extra tax revenue. That raises the question </w:t>
      </w:r>
      <w:r w:rsidR="007D0DC5">
        <w:t>what the</w:t>
      </w:r>
      <w:r>
        <w:t xml:space="preserve"> interim report’s revenue estimates assume </w:t>
      </w:r>
      <w:r w:rsidR="00BA491C">
        <w:t xml:space="preserve">for </w:t>
      </w:r>
      <w:r w:rsidR="007D0DC5">
        <w:t>starting base allowances</w:t>
      </w:r>
      <w:r>
        <w:t>.</w:t>
      </w:r>
    </w:p>
    <w:p w14:paraId="07F580B4" w14:textId="77777777" w:rsidR="006119BA" w:rsidRDefault="006119BA" w:rsidP="006119BA">
      <w:r>
        <w:t>The report raises the prospect of the NCT rate being increased in stages beyond 5%. The capital levy would be an issue with each increase. It is no surprise that the project-based PRRT initially only applied to new projects</w:t>
      </w:r>
      <w:r w:rsidR="00BA491C">
        <w:t xml:space="preserve"> and projects likely</w:t>
      </w:r>
      <w:r w:rsidR="00EB639D">
        <w:t xml:space="preserve"> to be very profitable.</w:t>
      </w:r>
    </w:p>
    <w:p w14:paraId="07F580B5" w14:textId="77777777" w:rsidR="003B611E" w:rsidRDefault="00EB639D">
      <w:r w:rsidRPr="00EB639D">
        <w:rPr>
          <w:u w:val="single"/>
        </w:rPr>
        <w:t>Imputation franking credits</w:t>
      </w:r>
      <w:r>
        <w:t xml:space="preserve">. </w:t>
      </w:r>
      <w:r w:rsidR="00AC7AA8">
        <w:t>Our imputation system is designed to have company taxable income taxed at shareholders</w:t>
      </w:r>
      <w:r w:rsidR="008A6063">
        <w:t>’</w:t>
      </w:r>
      <w:r w:rsidR="00AC7AA8">
        <w:t xml:space="preserve"> marginal tax rates</w:t>
      </w:r>
      <w:r w:rsidR="008A6063">
        <w:t xml:space="preserve"> when distributed as franked dividends plus imputation credits. In contrast, t</w:t>
      </w:r>
      <w:r w:rsidR="00AE2890">
        <w:t xml:space="preserve">he </w:t>
      </w:r>
      <w:r w:rsidR="00AC7AA8">
        <w:t xml:space="preserve">initial </w:t>
      </w:r>
      <w:r w:rsidR="00AE2890">
        <w:t xml:space="preserve">tax rate </w:t>
      </w:r>
      <w:r w:rsidR="00BB5875">
        <w:t xml:space="preserve">of </w:t>
      </w:r>
      <w:r w:rsidR="00AC7AA8">
        <w:t xml:space="preserve">the NCT </w:t>
      </w:r>
      <w:r w:rsidR="00BB5875">
        <w:t>is</w:t>
      </w:r>
      <w:r w:rsidR="00AE2890">
        <w:t xml:space="preserve"> </w:t>
      </w:r>
      <w:r w:rsidR="00F45534">
        <w:t xml:space="preserve">to be </w:t>
      </w:r>
      <w:r w:rsidR="008A6063">
        <w:t>set at the fixed</w:t>
      </w:r>
      <w:r w:rsidR="00AC7AA8">
        <w:t xml:space="preserve"> </w:t>
      </w:r>
      <w:r w:rsidR="00AE2890">
        <w:t>5%</w:t>
      </w:r>
      <w:r w:rsidR="008A6063">
        <w:t xml:space="preserve"> rate</w:t>
      </w:r>
      <w:r w:rsidR="00AE2890">
        <w:t xml:space="preserve">. That is the rate of tax that government is seeking to make on above-normal profits. </w:t>
      </w:r>
      <w:r w:rsidR="00AC7AA8">
        <w:t>Under the NCT, g</w:t>
      </w:r>
      <w:r w:rsidR="00AE2890">
        <w:t>overnment</w:t>
      </w:r>
      <w:r w:rsidR="003D5415">
        <w:t xml:space="preserve"> is taking a share of companies’ non-financial cash flows.</w:t>
      </w:r>
      <w:r w:rsidR="00AE2890">
        <w:t xml:space="preserve"> </w:t>
      </w:r>
      <w:r w:rsidR="003D5415">
        <w:t>It i</w:t>
      </w:r>
      <w:r w:rsidR="00AE2890">
        <w:t xml:space="preserve">s effectively taking a </w:t>
      </w:r>
      <w:r w:rsidR="00AC7AA8">
        <w:t xml:space="preserve">5% </w:t>
      </w:r>
      <w:r w:rsidR="00AE2890">
        <w:t xml:space="preserve">stake in </w:t>
      </w:r>
      <w:r w:rsidR="00AC7AA8">
        <w:t xml:space="preserve">large, profitable companies, for example, </w:t>
      </w:r>
      <w:r w:rsidR="00AE2890">
        <w:t xml:space="preserve">and </w:t>
      </w:r>
      <w:r w:rsidR="00AC7AA8">
        <w:t>would be</w:t>
      </w:r>
      <w:r w:rsidR="00AE2890">
        <w:t xml:space="preserve"> relying on the investment nous of the compan</w:t>
      </w:r>
      <w:r w:rsidR="00580B0D">
        <w:t>ies</w:t>
      </w:r>
      <w:r w:rsidR="00AE2890">
        <w:t xml:space="preserve"> </w:t>
      </w:r>
      <w:r w:rsidR="00F45534">
        <w:t xml:space="preserve">for it </w:t>
      </w:r>
      <w:r w:rsidR="00AE2890">
        <w:t>to achieve net tax revenue</w:t>
      </w:r>
      <w:r w:rsidR="00CA4D28">
        <w:t xml:space="preserve"> from that stake</w:t>
      </w:r>
      <w:r w:rsidR="00AE2890">
        <w:t xml:space="preserve">. </w:t>
      </w:r>
      <w:r w:rsidR="008A6063">
        <w:t xml:space="preserve">As the interim report posits, </w:t>
      </w:r>
      <w:r w:rsidR="00DB5F84">
        <w:t>p</w:t>
      </w:r>
      <w:r w:rsidR="00AE2890">
        <w:t xml:space="preserve">ayments of NCT </w:t>
      </w:r>
      <w:r w:rsidR="008A6063">
        <w:t xml:space="preserve">somehow </w:t>
      </w:r>
      <w:r w:rsidR="00AE2890">
        <w:t>attract</w:t>
      </w:r>
      <w:r w:rsidR="008A6063">
        <w:t>ing</w:t>
      </w:r>
      <w:r w:rsidR="00AE2890">
        <w:t xml:space="preserve"> </w:t>
      </w:r>
      <w:r w:rsidR="00DB5F84">
        <w:t xml:space="preserve">imputation-style </w:t>
      </w:r>
      <w:r w:rsidR="00AE2890">
        <w:t>franking credit</w:t>
      </w:r>
      <w:r w:rsidR="00DB5F84">
        <w:t xml:space="preserve">s </w:t>
      </w:r>
      <w:r w:rsidR="008A6063">
        <w:t>does not fit with NCT design at all.</w:t>
      </w:r>
    </w:p>
    <w:p w14:paraId="07F580B6" w14:textId="77777777" w:rsidR="007C3B7A" w:rsidRPr="007C3B7A" w:rsidRDefault="007C3B7A">
      <w:pPr>
        <w:rPr>
          <w:b/>
          <w:i/>
        </w:rPr>
      </w:pPr>
      <w:r w:rsidRPr="007C3B7A">
        <w:rPr>
          <w:b/>
          <w:i/>
        </w:rPr>
        <w:t>Combining NCT and income tax</w:t>
      </w:r>
    </w:p>
    <w:p w14:paraId="07F580B7" w14:textId="77777777" w:rsidR="00AE5A0E" w:rsidRDefault="00AE5A0E" w:rsidP="00AE5A0E">
      <w:r>
        <w:t>The proposed way of bringing together the NCT and our company income tax system does not accord with the tax-neutral ideal</w:t>
      </w:r>
      <w:r w:rsidR="003D5415">
        <w:t xml:space="preserve"> and</w:t>
      </w:r>
      <w:r w:rsidR="00AD35E1">
        <w:t xml:space="preserve"> potentially </w:t>
      </w:r>
      <w:r w:rsidR="003D5415">
        <w:t>compromises company income</w:t>
      </w:r>
      <w:r w:rsidR="00AD35E1">
        <w:t xml:space="preserve"> tax collections</w:t>
      </w:r>
      <w:r>
        <w:t xml:space="preserve">. </w:t>
      </w:r>
    </w:p>
    <w:p w14:paraId="07F580B8" w14:textId="77777777" w:rsidR="00923D95" w:rsidRDefault="00CA4D28" w:rsidP="00923D95">
      <w:r>
        <w:rPr>
          <w:u w:val="single"/>
        </w:rPr>
        <w:t>Compromising</w:t>
      </w:r>
      <w:r w:rsidR="00B60156" w:rsidRPr="00B60156">
        <w:rPr>
          <w:u w:val="single"/>
        </w:rPr>
        <w:t xml:space="preserve"> income tax revenue</w:t>
      </w:r>
      <w:r w:rsidR="00B60156">
        <w:t>. The</w:t>
      </w:r>
      <w:r w:rsidR="00923D95">
        <w:t xml:space="preserve"> possibility of NCT losses </w:t>
      </w:r>
      <w:r w:rsidR="00580B0D">
        <w:t xml:space="preserve">being </w:t>
      </w:r>
      <w:r w:rsidR="00923D95">
        <w:t>“offset against” income tax “liabilities” or income tax “profits”</w:t>
      </w:r>
      <w:r w:rsidR="00B60156">
        <w:t xml:space="preserve"> is proposed.</w:t>
      </w:r>
      <w:r w:rsidR="00923D95">
        <w:rPr>
          <w:rStyle w:val="FootnoteReference"/>
        </w:rPr>
        <w:footnoteReference w:id="34"/>
      </w:r>
      <w:r w:rsidR="00923D95">
        <w:t xml:space="preserve"> </w:t>
      </w:r>
      <w:r w:rsidR="00905507">
        <w:t xml:space="preserve">That proposal appears to be aimed at improving the tax-neutrality properties of the NCT. </w:t>
      </w:r>
      <w:r w:rsidR="00FF6C06">
        <w:t>But,</w:t>
      </w:r>
      <w:r w:rsidR="00905507">
        <w:t xml:space="preserve"> </w:t>
      </w:r>
      <w:r w:rsidR="00923D95">
        <w:t xml:space="preserve">the </w:t>
      </w:r>
      <w:r w:rsidR="00782E71">
        <w:t>neutrality chart</w:t>
      </w:r>
      <w:r w:rsidR="00923D95">
        <w:t xml:space="preserve"> highlights </w:t>
      </w:r>
      <w:r w:rsidR="002A7D95">
        <w:t xml:space="preserve">the </w:t>
      </w:r>
      <w:r w:rsidR="00923D95">
        <w:t>impracticalities</w:t>
      </w:r>
      <w:r w:rsidR="00580B0D">
        <w:t xml:space="preserve"> </w:t>
      </w:r>
      <w:r w:rsidR="00905507">
        <w:t>of mixing the tax bases of</w:t>
      </w:r>
      <w:r w:rsidR="00B60156">
        <w:t xml:space="preserve"> </w:t>
      </w:r>
      <w:r w:rsidR="00905507">
        <w:t>two very different taxes in</w:t>
      </w:r>
      <w:r w:rsidR="00923D95">
        <w:t xml:space="preserve"> such </w:t>
      </w:r>
      <w:r w:rsidR="00905507">
        <w:t>a way</w:t>
      </w:r>
      <w:r w:rsidR="00923D95">
        <w:t xml:space="preserve">. Even </w:t>
      </w:r>
      <w:r w:rsidR="006C5092">
        <w:t>at</w:t>
      </w:r>
      <w:r w:rsidR="00923D95">
        <w:t xml:space="preserve"> the initial 5% NCT rate, 5% of the $1000</w:t>
      </w:r>
      <w:r w:rsidR="00905507">
        <w:t xml:space="preserve"> </w:t>
      </w:r>
      <w:r w:rsidR="00923D95">
        <w:t xml:space="preserve">of Year 1 NCT losses </w:t>
      </w:r>
      <w:r w:rsidR="006C5092">
        <w:t xml:space="preserve">would </w:t>
      </w:r>
      <w:r w:rsidR="00923D95">
        <w:t xml:space="preserve">absorb all </w:t>
      </w:r>
      <w:r w:rsidR="006C5092">
        <w:t xml:space="preserve">of </w:t>
      </w:r>
      <w:r w:rsidR="00923D95">
        <w:t xml:space="preserve">the </w:t>
      </w:r>
      <w:r w:rsidR="006C5092">
        <w:t>chart’s</w:t>
      </w:r>
      <w:r w:rsidR="00923D95">
        <w:t xml:space="preserve"> $50 of income tax liabilities (even with the 50% tax rate in the </w:t>
      </w:r>
      <w:r w:rsidR="00782E71">
        <w:t>chart</w:t>
      </w:r>
      <w:r w:rsidR="00923D95">
        <w:t xml:space="preserve">) and half the $100 of income tax profits. </w:t>
      </w:r>
      <w:r w:rsidR="0023058E">
        <w:t>Se</w:t>
      </w:r>
      <w:r w:rsidR="00923D95">
        <w:t>eking a tax-neutral outcome for the NCT</w:t>
      </w:r>
      <w:r w:rsidR="00254F67">
        <w:t xml:space="preserve"> in this way</w:t>
      </w:r>
      <w:r w:rsidR="00923D95">
        <w:t xml:space="preserve"> </w:t>
      </w:r>
      <w:r w:rsidR="00820498">
        <w:t>c</w:t>
      </w:r>
      <w:r w:rsidR="00923D95">
        <w:t xml:space="preserve">ould </w:t>
      </w:r>
      <w:r w:rsidR="005E7DE7">
        <w:t xml:space="preserve">severely </w:t>
      </w:r>
      <w:r w:rsidR="006D02FF" w:rsidRPr="00B60156">
        <w:t>undermine</w:t>
      </w:r>
      <w:r w:rsidR="00923D95" w:rsidRPr="00B60156">
        <w:t xml:space="preserve"> company income taxation</w:t>
      </w:r>
      <w:r w:rsidR="00923D95">
        <w:t>.</w:t>
      </w:r>
    </w:p>
    <w:p w14:paraId="07F580B9" w14:textId="77777777" w:rsidR="00BD2DBA" w:rsidRDefault="00FF6C06" w:rsidP="00923D95">
      <w:r>
        <w:t xml:space="preserve">More specific numbers can be put on tax revenue problems that would arise with such mixing </w:t>
      </w:r>
      <w:r w:rsidR="0023058E">
        <w:t xml:space="preserve">together </w:t>
      </w:r>
      <w:r>
        <w:t>of the two tax bases by running out the investment in the neutrality chart over</w:t>
      </w:r>
      <w:r w:rsidR="000F5D83">
        <w:t xml:space="preserve"> </w:t>
      </w:r>
      <w:r>
        <w:t>5 years.</w:t>
      </w:r>
      <w:r w:rsidR="006C2374">
        <w:t xml:space="preserve"> The investment in the widget machine would continue to return 10% pa before tax and would be sold for $444 at the end of the 5 years.</w:t>
      </w:r>
      <w:r w:rsidR="00581021">
        <w:rPr>
          <w:rStyle w:val="FootnoteReference"/>
        </w:rPr>
        <w:footnoteReference w:id="35"/>
      </w:r>
      <w:r>
        <w:t xml:space="preserve"> </w:t>
      </w:r>
    </w:p>
    <w:p w14:paraId="07F580BA" w14:textId="77777777" w:rsidR="00BD2DBA" w:rsidRDefault="00BD2DBA" w:rsidP="00AD6F89">
      <w:pPr>
        <w:pStyle w:val="ListParagraph"/>
        <w:numPr>
          <w:ilvl w:val="0"/>
          <w:numId w:val="17"/>
        </w:numPr>
      </w:pPr>
      <w:r>
        <w:lastRenderedPageBreak/>
        <w:t xml:space="preserve">On the income tax side, </w:t>
      </w:r>
      <w:r w:rsidR="006C2374">
        <w:t>t</w:t>
      </w:r>
      <w:r>
        <w:t>he NPV of 30% income tax paid over the 5 years</w:t>
      </w:r>
      <w:r w:rsidR="008F5496">
        <w:t xml:space="preserve"> would be </w:t>
      </w:r>
      <w:r w:rsidR="00064E95">
        <w:t xml:space="preserve">a discounted </w:t>
      </w:r>
      <w:r w:rsidR="008F5496" w:rsidRPr="006C2374">
        <w:rPr>
          <w:b/>
        </w:rPr>
        <w:t>$79</w:t>
      </w:r>
      <w:r>
        <w:t xml:space="preserve">, </w:t>
      </w:r>
      <w:r w:rsidR="006C2374">
        <w:t xml:space="preserve">with </w:t>
      </w:r>
      <w:r>
        <w:t>discount</w:t>
      </w:r>
      <w:r w:rsidR="006C2374">
        <w:t>ing</w:t>
      </w:r>
      <w:r>
        <w:t xml:space="preserve"> at 10% pa</w:t>
      </w:r>
      <w:r w:rsidR="00832ED2">
        <w:t xml:space="preserve"> (or </w:t>
      </w:r>
      <w:r w:rsidR="00832ED2" w:rsidRPr="00064E95">
        <w:t>$112</w:t>
      </w:r>
      <w:r w:rsidR="00832ED2">
        <w:t xml:space="preserve"> total tax)</w:t>
      </w:r>
      <w:r w:rsidRPr="006C2374">
        <w:rPr>
          <w:b/>
        </w:rPr>
        <w:t>.</w:t>
      </w:r>
    </w:p>
    <w:p w14:paraId="07F580BB" w14:textId="77777777" w:rsidR="00AD6F89" w:rsidRDefault="00BD2DBA" w:rsidP="00AD6F89">
      <w:pPr>
        <w:pStyle w:val="ListParagraph"/>
        <w:numPr>
          <w:ilvl w:val="0"/>
          <w:numId w:val="17"/>
        </w:numPr>
      </w:pPr>
      <w:r>
        <w:t xml:space="preserve">On the </w:t>
      </w:r>
      <w:r w:rsidR="00AD6F89">
        <w:t xml:space="preserve">5% </w:t>
      </w:r>
      <w:r>
        <w:t>NCT side, the up-front loss would be $50</w:t>
      </w:r>
      <w:r w:rsidR="00257BF1">
        <w:t xml:space="preserve">, to be </w:t>
      </w:r>
      <w:r>
        <w:t>carried forward with 10% pa uplift</w:t>
      </w:r>
      <w:r w:rsidR="00257BF1">
        <w:t>. T</w:t>
      </w:r>
      <w:r w:rsidR="00AD6F89">
        <w:t xml:space="preserve">here is </w:t>
      </w:r>
      <w:r w:rsidR="006C2374">
        <w:t xml:space="preserve">easily </w:t>
      </w:r>
      <w:r w:rsidR="00AD6F89">
        <w:t xml:space="preserve">sufficient </w:t>
      </w:r>
      <w:r>
        <w:t>taxable income or income tax liabilities</w:t>
      </w:r>
      <w:r w:rsidR="006C2374">
        <w:t xml:space="preserve"> </w:t>
      </w:r>
      <w:r w:rsidR="00AD6F89">
        <w:t xml:space="preserve">available </w:t>
      </w:r>
      <w:r w:rsidR="00257BF1">
        <w:t xml:space="preserve">over the 5 years </w:t>
      </w:r>
      <w:r w:rsidR="00AD6F89">
        <w:t>to fully absorb carried-forward NCT losses. Consequently, regardless of which income tax stream were used to offset NCT losses, the NPV of NCT payments would be zero, again with discounting at 10% pa.</w:t>
      </w:r>
    </w:p>
    <w:p w14:paraId="07F580BC" w14:textId="77777777" w:rsidR="00A47E97" w:rsidRDefault="00AD6F89" w:rsidP="00AD6F89">
      <w:pPr>
        <w:pStyle w:val="ListParagraph"/>
        <w:numPr>
          <w:ilvl w:val="0"/>
          <w:numId w:val="17"/>
        </w:numPr>
      </w:pPr>
      <w:r>
        <w:t xml:space="preserve">However, the NPV of income tax payments would be </w:t>
      </w:r>
      <w:r w:rsidR="00064E95">
        <w:t>cut</w:t>
      </w:r>
      <w:r>
        <w:t xml:space="preserve"> from </w:t>
      </w:r>
      <w:r w:rsidRPr="004509DC">
        <w:rPr>
          <w:b/>
        </w:rPr>
        <w:t>$79</w:t>
      </w:r>
      <w:r>
        <w:t xml:space="preserve"> to either </w:t>
      </w:r>
      <w:r w:rsidRPr="006C2374">
        <w:rPr>
          <w:b/>
        </w:rPr>
        <w:t>$69</w:t>
      </w:r>
      <w:r w:rsidR="00064E95">
        <w:rPr>
          <w:b/>
        </w:rPr>
        <w:t xml:space="preserve"> </w:t>
      </w:r>
      <w:r w:rsidR="00064E95" w:rsidRPr="00064E95">
        <w:t>(</w:t>
      </w:r>
      <w:r w:rsidR="00064E95">
        <w:t>$99</w:t>
      </w:r>
      <w:r w:rsidR="00DC0EAC">
        <w:t xml:space="preserve"> total</w:t>
      </w:r>
      <w:r w:rsidR="00064E95">
        <w:t xml:space="preserve">) </w:t>
      </w:r>
      <w:r>
        <w:t xml:space="preserve">or </w:t>
      </w:r>
      <w:r w:rsidRPr="006C2374">
        <w:rPr>
          <w:b/>
        </w:rPr>
        <w:t>$58</w:t>
      </w:r>
      <w:r w:rsidR="00064E95">
        <w:rPr>
          <w:b/>
        </w:rPr>
        <w:t xml:space="preserve"> </w:t>
      </w:r>
      <w:r w:rsidR="00064E95" w:rsidRPr="00064E95">
        <w:t>(</w:t>
      </w:r>
      <w:r w:rsidR="00064E95">
        <w:t>$79</w:t>
      </w:r>
      <w:r w:rsidR="00DC0EAC">
        <w:t xml:space="preserve"> total</w:t>
      </w:r>
      <w:r w:rsidR="00064E95">
        <w:t>)</w:t>
      </w:r>
      <w:r>
        <w:t xml:space="preserve"> with NCT losses applied to taxable income or tax liabilities, respectively.</w:t>
      </w:r>
    </w:p>
    <w:p w14:paraId="07F580BD" w14:textId="77777777" w:rsidR="00FF6C06" w:rsidRDefault="00F45534" w:rsidP="00AD6F89">
      <w:pPr>
        <w:pStyle w:val="ListParagraph"/>
        <w:numPr>
          <w:ilvl w:val="0"/>
          <w:numId w:val="17"/>
        </w:numPr>
      </w:pPr>
      <w:r>
        <w:t>This shows that, b</w:t>
      </w:r>
      <w:r w:rsidR="00A47E97">
        <w:t xml:space="preserve">y </w:t>
      </w:r>
      <w:r w:rsidR="004509DC">
        <w:t>mixing</w:t>
      </w:r>
      <w:r w:rsidR="00A47E97">
        <w:t xml:space="preserve"> the NCT </w:t>
      </w:r>
      <w:r w:rsidR="004509DC">
        <w:t xml:space="preserve">and income tax </w:t>
      </w:r>
      <w:r w:rsidR="0023058E">
        <w:t xml:space="preserve">bases </w:t>
      </w:r>
      <w:r w:rsidR="00A47E97">
        <w:t>in th</w:t>
      </w:r>
      <w:r w:rsidR="008F5496">
        <w:t>e</w:t>
      </w:r>
      <w:r w:rsidR="00A47E97">
        <w:t xml:space="preserve"> way</w:t>
      </w:r>
      <w:r w:rsidR="008F5496">
        <w:t xml:space="preserve"> proposed</w:t>
      </w:r>
      <w:r w:rsidR="00A47E97">
        <w:t xml:space="preserve">, </w:t>
      </w:r>
      <w:r>
        <w:t>even</w:t>
      </w:r>
      <w:r w:rsidR="00A47E97">
        <w:t xml:space="preserve"> compan</w:t>
      </w:r>
      <w:r>
        <w:t>ies</w:t>
      </w:r>
      <w:r w:rsidR="00A47E97">
        <w:t xml:space="preserve"> making commercial profit</w:t>
      </w:r>
      <w:r w:rsidR="00A62BAA">
        <w:t>s</w:t>
      </w:r>
      <w:r w:rsidR="00A47E97">
        <w:t xml:space="preserve"> that </w:t>
      </w:r>
      <w:r>
        <w:t>only achieve</w:t>
      </w:r>
      <w:r w:rsidR="00A47E97">
        <w:t xml:space="preserve"> the </w:t>
      </w:r>
      <w:r w:rsidR="008F5496">
        <w:t>‘normal’</w:t>
      </w:r>
      <w:r w:rsidR="00A62BAA">
        <w:t xml:space="preserve"> </w:t>
      </w:r>
      <w:r w:rsidR="00A47E97">
        <w:t xml:space="preserve">10% pa </w:t>
      </w:r>
      <w:r w:rsidR="0023058E">
        <w:t xml:space="preserve">pre-tax </w:t>
      </w:r>
      <w:r w:rsidR="00A47E97">
        <w:t xml:space="preserve">return would have </w:t>
      </w:r>
      <w:r>
        <w:t>their</w:t>
      </w:r>
      <w:r w:rsidR="00A47E97">
        <w:t xml:space="preserve"> income tax bill</w:t>
      </w:r>
      <w:r>
        <w:t>s</w:t>
      </w:r>
      <w:r w:rsidR="00A47E97">
        <w:t xml:space="preserve"> reduced significantly.</w:t>
      </w:r>
      <w:r w:rsidR="008F5496">
        <w:t xml:space="preserve"> </w:t>
      </w:r>
      <w:r>
        <w:t xml:space="preserve">And, </w:t>
      </w:r>
      <w:r w:rsidR="00A62BAA">
        <w:t>even less profitable</w:t>
      </w:r>
      <w:r w:rsidR="00932FE4">
        <w:t xml:space="preserve"> small to medium companies</w:t>
      </w:r>
      <w:r w:rsidR="00A62BAA">
        <w:t xml:space="preserve"> (with no prospect of paying NCT)</w:t>
      </w:r>
      <w:r w:rsidR="00932FE4">
        <w:t xml:space="preserve">, </w:t>
      </w:r>
      <w:r w:rsidR="00A62BAA">
        <w:t>would</w:t>
      </w:r>
      <w:r w:rsidR="00932FE4">
        <w:t xml:space="preserve"> </w:t>
      </w:r>
      <w:r w:rsidR="00A62BAA">
        <w:t xml:space="preserve">have their </w:t>
      </w:r>
      <w:r w:rsidR="00932FE4">
        <w:t xml:space="preserve">income tax payments </w:t>
      </w:r>
      <w:r w:rsidR="00A62BAA">
        <w:t xml:space="preserve">hollowed out by this </w:t>
      </w:r>
      <w:r w:rsidR="00257BF1">
        <w:t xml:space="preserve">proposed </w:t>
      </w:r>
      <w:r w:rsidR="00A62BAA">
        <w:t>design</w:t>
      </w:r>
      <w:r w:rsidR="00257BF1">
        <w:t xml:space="preserve"> feature</w:t>
      </w:r>
      <w:r w:rsidR="00932FE4">
        <w:t xml:space="preserve">.   </w:t>
      </w:r>
      <w:r w:rsidR="00A47E97">
        <w:t xml:space="preserve">  </w:t>
      </w:r>
      <w:r w:rsidR="00BD2DBA">
        <w:t xml:space="preserve">    </w:t>
      </w:r>
      <w:r w:rsidR="00FF6C06">
        <w:t xml:space="preserve"> </w:t>
      </w:r>
    </w:p>
    <w:p w14:paraId="07F580BE" w14:textId="77777777" w:rsidR="00B60156" w:rsidRDefault="00CA4D28" w:rsidP="00B60156">
      <w:r>
        <w:rPr>
          <w:u w:val="single"/>
        </w:rPr>
        <w:t>Affecting</w:t>
      </w:r>
      <w:r w:rsidR="008057E0" w:rsidRPr="008057E0">
        <w:rPr>
          <w:u w:val="single"/>
        </w:rPr>
        <w:t xml:space="preserve"> investment decision-making</w:t>
      </w:r>
      <w:r w:rsidR="008057E0">
        <w:t xml:space="preserve">. Ignoring </w:t>
      </w:r>
      <w:r w:rsidR="00034D8A">
        <w:t xml:space="preserve">the </w:t>
      </w:r>
      <w:r w:rsidR="004E398C">
        <w:t xml:space="preserve">proposed </w:t>
      </w:r>
      <w:r w:rsidR="00034D8A">
        <w:t xml:space="preserve">mixing of the two tax bases in NCT design, </w:t>
      </w:r>
      <w:r w:rsidR="004E398C">
        <w:t>combining</w:t>
      </w:r>
      <w:r w:rsidR="00034D8A">
        <w:t xml:space="preserve"> NCT and income tax </w:t>
      </w:r>
      <w:r w:rsidR="004E398C">
        <w:t>in the manner</w:t>
      </w:r>
      <w:r w:rsidR="00034D8A">
        <w:t xml:space="preserve"> proposed </w:t>
      </w:r>
      <w:r w:rsidR="00963133">
        <w:t xml:space="preserve">does not accord </w:t>
      </w:r>
      <w:r w:rsidR="00034D8A">
        <w:t xml:space="preserve">with either ideal, tax-neutral design or typical practical design. Thus, </w:t>
      </w:r>
      <w:r w:rsidR="00EB286E">
        <w:t xml:space="preserve">even though the NCT seeks to cut 5% off </w:t>
      </w:r>
      <w:r w:rsidR="00D739CB">
        <w:t xml:space="preserve">pre-tax investment flows, </w:t>
      </w:r>
      <w:r w:rsidR="00EB286E">
        <w:t xml:space="preserve">those flows </w:t>
      </w:r>
      <w:r w:rsidR="00257BF1">
        <w:t xml:space="preserve">are still to </w:t>
      </w:r>
      <w:r w:rsidR="00B60156">
        <w:t>be assessed for income tax</w:t>
      </w:r>
      <w:r w:rsidR="00D739CB">
        <w:t xml:space="preserve"> purposes</w:t>
      </w:r>
      <w:r w:rsidR="00B60156">
        <w:t xml:space="preserve">. That is the case even for large, highly-profitable companies for which the NCT would operate as a pure CFT. Even for them, post-NCT flows are not proposed to feed into income tax </w:t>
      </w:r>
      <w:r w:rsidR="004E398C">
        <w:t>assessments</w:t>
      </w:r>
      <w:r w:rsidR="00B60156">
        <w:t>.</w:t>
      </w:r>
    </w:p>
    <w:p w14:paraId="07F580BF" w14:textId="77777777" w:rsidR="00034D8A" w:rsidRDefault="00B60156" w:rsidP="00B60156">
      <w:r>
        <w:t>And, unlike the PRRT and RSPT, NCT payments are not proposed to be a deduction for income tax purposes. For large companies, such NCT deductions could act as a less ideal alternative to having post-NCT flows pass through to income taxation. For small companies, this would be the only practical alternative because the high risk of unrecouped NCT losses means the ideal passing-through of post-NCT flows is not practicable.</w:t>
      </w:r>
    </w:p>
    <w:p w14:paraId="07F580C0" w14:textId="77777777" w:rsidR="008239AC" w:rsidRDefault="004E398C" w:rsidP="00B60156">
      <w:r>
        <w:t>Consequently</w:t>
      </w:r>
      <w:r w:rsidR="00CF05B7">
        <w:t xml:space="preserve">, </w:t>
      </w:r>
      <w:r>
        <w:t xml:space="preserve">proposed design simply has </w:t>
      </w:r>
      <w:r w:rsidR="00034D8A">
        <w:t xml:space="preserve">NCT </w:t>
      </w:r>
      <w:r>
        <w:t xml:space="preserve">as a tax on companies in additional </w:t>
      </w:r>
      <w:r w:rsidR="00963133">
        <w:t>to income tax</w:t>
      </w:r>
      <w:r w:rsidR="00EB286E">
        <w:t xml:space="preserve"> still based on pre-tax cash flows</w:t>
      </w:r>
      <w:r w:rsidR="00CF05B7">
        <w:t xml:space="preserve"> </w:t>
      </w:r>
      <w:r w:rsidR="008811AA">
        <w:t>(</w:t>
      </w:r>
      <w:r w:rsidR="00CF05B7">
        <w:t>to</w:t>
      </w:r>
      <w:r w:rsidR="00963133">
        <w:t xml:space="preserve"> help fund reductions in the company tax rate for small to medium businesses</w:t>
      </w:r>
      <w:r w:rsidR="008811AA">
        <w:t>)</w:t>
      </w:r>
      <w:r w:rsidR="00CF05B7">
        <w:t>.</w:t>
      </w:r>
      <w:r w:rsidR="008811AA">
        <w:t xml:space="preserve"> Thus, those small to medium companies not sufficiently profitable to pay NCT at all would be assessed for income tax as usual</w:t>
      </w:r>
      <w:r w:rsidR="00ED304C">
        <w:t xml:space="preserve"> – after adhering to required NCT accounting</w:t>
      </w:r>
      <w:r w:rsidR="008811AA">
        <w:t xml:space="preserve">. Their taxable income would </w:t>
      </w:r>
      <w:r w:rsidR="005E2150">
        <w:t>continue to</w:t>
      </w:r>
      <w:r w:rsidR="008811AA">
        <w:t xml:space="preserve"> attract the applicable company tax rate for as long as they hold the after-tax profits at the company level. </w:t>
      </w:r>
    </w:p>
    <w:p w14:paraId="07F580C1" w14:textId="77777777" w:rsidR="005E2150" w:rsidRDefault="006C5092" w:rsidP="00936AC8">
      <w:r>
        <w:t xml:space="preserve">The </w:t>
      </w:r>
      <w:r w:rsidR="00C81F4B" w:rsidRPr="00034D8A">
        <w:t>non-neutral, or distort</w:t>
      </w:r>
      <w:r w:rsidR="003B76AE" w:rsidRPr="00034D8A">
        <w:t>ionary</w:t>
      </w:r>
      <w:r w:rsidRPr="00034D8A">
        <w:t>,</w:t>
      </w:r>
      <w:r w:rsidR="00C81F4B" w:rsidRPr="00034D8A">
        <w:t xml:space="preserve"> impact</w:t>
      </w:r>
      <w:r w:rsidR="00C81F4B">
        <w:t xml:space="preserve"> </w:t>
      </w:r>
      <w:r w:rsidR="003B76AE">
        <w:t xml:space="preserve">on investment decision-making </w:t>
      </w:r>
      <w:r w:rsidR="00C81F4B">
        <w:t xml:space="preserve">of </w:t>
      </w:r>
      <w:r w:rsidR="001507E5">
        <w:t>th</w:t>
      </w:r>
      <w:r w:rsidR="00CF05B7">
        <w:t>is</w:t>
      </w:r>
      <w:r w:rsidR="001507E5">
        <w:t xml:space="preserve"> </w:t>
      </w:r>
      <w:r w:rsidR="003B76AE">
        <w:t>adding</w:t>
      </w:r>
      <w:r w:rsidR="00C81F4B">
        <w:t xml:space="preserve"> of</w:t>
      </w:r>
      <w:r w:rsidR="00454318">
        <w:t xml:space="preserve"> NCT </w:t>
      </w:r>
      <w:r w:rsidR="003B76AE">
        <w:t>to</w:t>
      </w:r>
      <w:r w:rsidR="00EB286E">
        <w:t xml:space="preserve"> unchanged</w:t>
      </w:r>
      <w:r w:rsidR="00454318">
        <w:t xml:space="preserve"> company </w:t>
      </w:r>
      <w:r w:rsidR="00EB286E">
        <w:t xml:space="preserve">income </w:t>
      </w:r>
      <w:r w:rsidR="00454318">
        <w:t>tax</w:t>
      </w:r>
      <w:r w:rsidR="003B76AE">
        <w:t>ation</w:t>
      </w:r>
      <w:r w:rsidR="00454318">
        <w:t xml:space="preserve"> </w:t>
      </w:r>
      <w:r w:rsidR="001745C1">
        <w:t xml:space="preserve">may be </w:t>
      </w:r>
      <w:r w:rsidR="00C81F4B">
        <w:t xml:space="preserve">illustrated </w:t>
      </w:r>
      <w:r w:rsidR="00143641">
        <w:t xml:space="preserve">using the interim report’s </w:t>
      </w:r>
      <w:r w:rsidR="003B76AE">
        <w:t>Table B.7</w:t>
      </w:r>
      <w:r w:rsidR="00D0321E">
        <w:t xml:space="preserve"> (</w:t>
      </w:r>
      <w:r w:rsidR="003B76AE">
        <w:t>p 65</w:t>
      </w:r>
      <w:r w:rsidR="00D0321E">
        <w:t>)</w:t>
      </w:r>
      <w:r w:rsidR="006E05A6">
        <w:t xml:space="preserve"> – drawing on the neutrality properties of income taxation shown in th</w:t>
      </w:r>
      <w:r w:rsidR="00BB5D24">
        <w:t>e</w:t>
      </w:r>
      <w:r w:rsidR="006E05A6">
        <w:t xml:space="preserve"> neutrality chart.</w:t>
      </w:r>
      <w:r w:rsidR="00D0321E">
        <w:t xml:space="preserve"> </w:t>
      </w:r>
    </w:p>
    <w:p w14:paraId="07F580C2" w14:textId="77777777" w:rsidR="00907A3E" w:rsidRDefault="00143641" w:rsidP="00936AC8">
      <w:r>
        <w:t>Table B</w:t>
      </w:r>
      <w:r w:rsidR="00BA2CDE">
        <w:t>.</w:t>
      </w:r>
      <w:r>
        <w:t>7</w:t>
      </w:r>
      <w:r w:rsidR="008239AC">
        <w:t xml:space="preserve"> </w:t>
      </w:r>
      <w:r w:rsidR="008F5496">
        <w:t>shows</w:t>
      </w:r>
      <w:r w:rsidR="008239AC">
        <w:t xml:space="preserve"> how the NCT</w:t>
      </w:r>
      <w:r w:rsidR="006E05A6">
        <w:t>,</w:t>
      </w:r>
      <w:r w:rsidR="00907A3E">
        <w:t xml:space="preserve"> operating as a CFT</w:t>
      </w:r>
      <w:r w:rsidR="00BB5D24">
        <w:t xml:space="preserve"> with immediate loss offset</w:t>
      </w:r>
      <w:r w:rsidR="006E05A6">
        <w:t>,</w:t>
      </w:r>
      <w:r w:rsidR="008239AC">
        <w:t xml:space="preserve"> does not </w:t>
      </w:r>
      <w:r w:rsidR="00960BEB">
        <w:t>change the discounted total tax paid by</w:t>
      </w:r>
      <w:r w:rsidR="00FE4201">
        <w:t xml:space="preserve"> a</w:t>
      </w:r>
      <w:r w:rsidR="008239AC">
        <w:t xml:space="preserve"> </w:t>
      </w:r>
      <w:r>
        <w:t xml:space="preserve">large </w:t>
      </w:r>
      <w:r w:rsidR="008239AC">
        <w:t>compan</w:t>
      </w:r>
      <w:r w:rsidR="00FE4201">
        <w:t>y</w:t>
      </w:r>
      <w:r w:rsidR="008239AC">
        <w:t xml:space="preserve"> </w:t>
      </w:r>
      <w:r w:rsidR="003319DB">
        <w:t xml:space="preserve">when the </w:t>
      </w:r>
      <w:r>
        <w:t xml:space="preserve">assumed </w:t>
      </w:r>
      <w:r w:rsidR="003319DB">
        <w:t xml:space="preserve">pre-tax return of </w:t>
      </w:r>
      <w:r w:rsidR="00FE4201">
        <w:t>an investment by the company</w:t>
      </w:r>
      <w:r w:rsidR="003319DB">
        <w:t xml:space="preserve"> </w:t>
      </w:r>
      <w:r>
        <w:t xml:space="preserve">(10% pa) </w:t>
      </w:r>
      <w:r w:rsidR="003319DB">
        <w:t xml:space="preserve">matches </w:t>
      </w:r>
      <w:r>
        <w:t>the</w:t>
      </w:r>
      <w:r w:rsidR="00960BEB">
        <w:t xml:space="preserve"> discount rate used </w:t>
      </w:r>
      <w:r>
        <w:t xml:space="preserve">to compare </w:t>
      </w:r>
      <w:r w:rsidR="00960BEB">
        <w:t>tax payments</w:t>
      </w:r>
      <w:r w:rsidR="00907A3E">
        <w:t xml:space="preserve">. That outcome is assured mathematically: NCT payments from the investments must discount at 10% pa to the up-front NCT </w:t>
      </w:r>
      <w:r w:rsidR="00BB5D24">
        <w:t xml:space="preserve">‘refund’ (value of </w:t>
      </w:r>
      <w:r w:rsidR="00FE4201">
        <w:t xml:space="preserve">the investment’s up-front negative cash flow </w:t>
      </w:r>
      <w:r w:rsidR="005E2150">
        <w:t xml:space="preserve">recouped </w:t>
      </w:r>
      <w:r w:rsidR="00BB5D24">
        <w:t>immediately)</w:t>
      </w:r>
      <w:r w:rsidR="00907A3E">
        <w:t>.</w:t>
      </w:r>
    </w:p>
    <w:p w14:paraId="07F580C3" w14:textId="77777777" w:rsidR="00953374" w:rsidRDefault="00907A3E" w:rsidP="00936AC8">
      <w:r>
        <w:t>Table B.7, however, does not show how the interim report’s proposed tax design performs</w:t>
      </w:r>
      <w:r w:rsidR="000E54D2">
        <w:t xml:space="preserve"> in terms of its impact on</w:t>
      </w:r>
      <w:r w:rsidR="006E05A6">
        <w:t xml:space="preserve"> pre-tax </w:t>
      </w:r>
      <w:r w:rsidR="000E54D2">
        <w:t>investment decision</w:t>
      </w:r>
      <w:r w:rsidR="006E05A6">
        <w:t>-making</w:t>
      </w:r>
      <w:r>
        <w:t xml:space="preserve">. </w:t>
      </w:r>
      <w:r w:rsidR="008F5496">
        <w:t xml:space="preserve">The neutrality chart shows </w:t>
      </w:r>
      <w:r w:rsidR="005E2150">
        <w:t xml:space="preserve">what </w:t>
      </w:r>
      <w:r w:rsidR="00D86B7A">
        <w:t xml:space="preserve">the effect </w:t>
      </w:r>
      <w:r w:rsidR="005E2150">
        <w:lastRenderedPageBreak/>
        <w:t xml:space="preserve">would be </w:t>
      </w:r>
      <w:r w:rsidR="00D86B7A">
        <w:t xml:space="preserve">on the </w:t>
      </w:r>
      <w:r w:rsidR="005E2150">
        <w:t xml:space="preserve">pre-tax </w:t>
      </w:r>
      <w:r w:rsidR="00D86B7A">
        <w:t xml:space="preserve">10% pa return and zero NPV of the investment in Table B.7 </w:t>
      </w:r>
      <w:r w:rsidR="00FE4201">
        <w:t>were</w:t>
      </w:r>
      <w:r w:rsidR="008F2EBB">
        <w:t xml:space="preserve"> NCT</w:t>
      </w:r>
      <w:r w:rsidR="00D86B7A">
        <w:t xml:space="preserve"> </w:t>
      </w:r>
      <w:r w:rsidR="00FE4201">
        <w:t>and</w:t>
      </w:r>
      <w:r w:rsidR="008F2EBB">
        <w:t xml:space="preserve"> pure income taxation</w:t>
      </w:r>
      <w:r w:rsidR="00FE4201">
        <w:t xml:space="preserve"> blended in a tax-neutral way</w:t>
      </w:r>
      <w:r w:rsidR="00D86B7A">
        <w:t xml:space="preserve">: </w:t>
      </w:r>
    </w:p>
    <w:p w14:paraId="07F580C4" w14:textId="77777777" w:rsidR="00953374" w:rsidRDefault="003519AD" w:rsidP="00953374">
      <w:pPr>
        <w:pStyle w:val="ListParagraph"/>
        <w:numPr>
          <w:ilvl w:val="0"/>
          <w:numId w:val="21"/>
        </w:numPr>
      </w:pPr>
      <w:r>
        <w:t xml:space="preserve">after NCT, </w:t>
      </w:r>
      <w:r w:rsidR="008F2EBB">
        <w:t>10% pa</w:t>
      </w:r>
      <w:r w:rsidR="00D86B7A">
        <w:t xml:space="preserve"> </w:t>
      </w:r>
      <w:r w:rsidR="008F2EBB">
        <w:t xml:space="preserve">return </w:t>
      </w:r>
      <w:r w:rsidR="00D86B7A">
        <w:t>and zero NPV (discount</w:t>
      </w:r>
      <w:r>
        <w:t>ing</w:t>
      </w:r>
      <w:r w:rsidR="00D86B7A">
        <w:t xml:space="preserve"> at 10%)</w:t>
      </w:r>
      <w:r w:rsidR="00953374">
        <w:t xml:space="preserve"> </w:t>
      </w:r>
      <w:r w:rsidR="00D76ABA">
        <w:t xml:space="preserve">would be </w:t>
      </w:r>
      <w:r w:rsidR="00953374">
        <w:t>maintained</w:t>
      </w:r>
      <w:r w:rsidR="00D86B7A">
        <w:t xml:space="preserve">; </w:t>
      </w:r>
    </w:p>
    <w:p w14:paraId="07F580C5" w14:textId="77777777" w:rsidR="00D76ABA" w:rsidRDefault="003519AD" w:rsidP="00953374">
      <w:pPr>
        <w:pStyle w:val="ListParagraph"/>
        <w:numPr>
          <w:ilvl w:val="0"/>
          <w:numId w:val="21"/>
        </w:numPr>
      </w:pPr>
      <w:r>
        <w:t>after post-NCT</w:t>
      </w:r>
      <w:r w:rsidR="00D76ABA">
        <w:t xml:space="preserve"> cash</w:t>
      </w:r>
      <w:r>
        <w:t xml:space="preserve"> </w:t>
      </w:r>
      <w:r w:rsidR="00D76ABA">
        <w:t xml:space="preserve">flows </w:t>
      </w:r>
      <w:r>
        <w:t>are fed into 30% income taxation,</w:t>
      </w:r>
      <w:r w:rsidR="00D86B7A">
        <w:t xml:space="preserve"> 7% pa return</w:t>
      </w:r>
      <w:r w:rsidR="00953374">
        <w:t xml:space="preserve"> and zero</w:t>
      </w:r>
      <w:r w:rsidR="00D86B7A">
        <w:t xml:space="preserve"> </w:t>
      </w:r>
      <w:r w:rsidR="00953374">
        <w:t>NPV (discount</w:t>
      </w:r>
      <w:r>
        <w:t>ing</w:t>
      </w:r>
      <w:r w:rsidR="00953374">
        <w:t xml:space="preserve"> at </w:t>
      </w:r>
      <w:r>
        <w:t xml:space="preserve">investors’ post-income tax </w:t>
      </w:r>
      <w:r w:rsidR="00953374">
        <w:t>7%</w:t>
      </w:r>
      <w:r w:rsidR="00D76ABA">
        <w:t xml:space="preserve"> pa rate</w:t>
      </w:r>
      <w:r w:rsidR="00953374">
        <w:t>)</w:t>
      </w:r>
      <w:r w:rsidR="00D76ABA">
        <w:t xml:space="preserve"> would result;</w:t>
      </w:r>
    </w:p>
    <w:p w14:paraId="07F580C6" w14:textId="77777777" w:rsidR="00953374" w:rsidRDefault="00D76ABA" w:rsidP="00953374">
      <w:pPr>
        <w:pStyle w:val="ListParagraph"/>
        <w:numPr>
          <w:ilvl w:val="0"/>
          <w:numId w:val="21"/>
        </w:numPr>
      </w:pPr>
      <w:r>
        <w:t xml:space="preserve">thus, a 7% pa return and zero NPV (with discounting at 7% pa) </w:t>
      </w:r>
      <w:r w:rsidRPr="00655578">
        <w:rPr>
          <w:u w:val="single"/>
        </w:rPr>
        <w:t>after</w:t>
      </w:r>
      <w:r w:rsidR="00655578" w:rsidRPr="00655578">
        <w:rPr>
          <w:u w:val="single"/>
        </w:rPr>
        <w:t>-all taxes</w:t>
      </w:r>
      <w:r w:rsidR="00655578">
        <w:t xml:space="preserve"> is </w:t>
      </w:r>
      <w:r w:rsidR="00953374">
        <w:t>the benchmark against which to compare alternative designs</w:t>
      </w:r>
      <w:r w:rsidR="00655578">
        <w:t xml:space="preserve"> using the report’s Table B.7.</w:t>
      </w:r>
    </w:p>
    <w:p w14:paraId="07F580C7" w14:textId="77777777" w:rsidR="003319DB" w:rsidRDefault="00953374" w:rsidP="00936AC8">
      <w:r>
        <w:t xml:space="preserve">Against that benchmark, </w:t>
      </w:r>
      <w:r w:rsidR="003319DB">
        <w:t xml:space="preserve">Table 1 illustrates </w:t>
      </w:r>
      <w:r w:rsidR="000E54D2">
        <w:t xml:space="preserve">the </w:t>
      </w:r>
      <w:r w:rsidR="003319DB">
        <w:t xml:space="preserve">non-neutral impact </w:t>
      </w:r>
      <w:r w:rsidR="00516A55">
        <w:t xml:space="preserve">of the proposed way of </w:t>
      </w:r>
      <w:r w:rsidR="00BB5D24">
        <w:t>adding</w:t>
      </w:r>
      <w:r w:rsidR="00516A55">
        <w:t xml:space="preserve"> NCT </w:t>
      </w:r>
      <w:r w:rsidR="00BB5D24">
        <w:t>to</w:t>
      </w:r>
      <w:r w:rsidR="00516A55">
        <w:t xml:space="preserve"> income tax for </w:t>
      </w:r>
      <w:r w:rsidR="006E05A6">
        <w:t>large</w:t>
      </w:r>
      <w:r w:rsidR="00516A55">
        <w:t xml:space="preserve"> companies.</w:t>
      </w:r>
      <w:r w:rsidR="000E54D2">
        <w:t xml:space="preserve"> </w:t>
      </w:r>
    </w:p>
    <w:p w14:paraId="07F580C8" w14:textId="77777777" w:rsidR="00435BDC" w:rsidRPr="000A7173" w:rsidRDefault="00435BDC" w:rsidP="00435BDC">
      <w:pPr>
        <w:spacing w:after="0"/>
        <w:rPr>
          <w:b/>
        </w:rPr>
      </w:pPr>
      <w:r w:rsidRPr="000A7173">
        <w:rPr>
          <w:b/>
        </w:rPr>
        <w:t xml:space="preserve">TABLE </w:t>
      </w:r>
      <w:r>
        <w:rPr>
          <w:b/>
        </w:rPr>
        <w:t>1</w:t>
      </w:r>
    </w:p>
    <w:p w14:paraId="07F580C9" w14:textId="77777777" w:rsidR="00435BDC" w:rsidRDefault="00BA2CDE" w:rsidP="00435BDC">
      <w:pPr>
        <w:spacing w:after="0"/>
      </w:pPr>
      <w:r>
        <w:t xml:space="preserve">Company in interim report’s Table B.7 subject to </w:t>
      </w:r>
      <w:r w:rsidR="009F31DA">
        <w:t xml:space="preserve">5% </w:t>
      </w:r>
      <w:r>
        <w:t xml:space="preserve">NCT plus income tax with </w:t>
      </w:r>
      <w:r w:rsidR="00DF5F68">
        <w:t xml:space="preserve">5-year </w:t>
      </w:r>
      <w:r>
        <w:t xml:space="preserve">straight-line write-off of </w:t>
      </w:r>
      <w:r w:rsidR="00DF5F68">
        <w:t>$500,000 capital investment</w:t>
      </w:r>
      <w:r w:rsidR="00435BDC">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87"/>
        <w:gridCol w:w="992"/>
        <w:gridCol w:w="996"/>
        <w:gridCol w:w="1133"/>
        <w:gridCol w:w="1133"/>
        <w:gridCol w:w="851"/>
        <w:gridCol w:w="991"/>
        <w:gridCol w:w="1133"/>
      </w:tblGrid>
      <w:tr w:rsidR="000D6F79" w14:paraId="07F580EA" w14:textId="77777777" w:rsidTr="00236275">
        <w:trPr>
          <w:trHeight w:val="1874"/>
        </w:trPr>
        <w:tc>
          <w:tcPr>
            <w:tcW w:w="681" w:type="dxa"/>
            <w:shd w:val="clear" w:color="auto" w:fill="F2F2F2"/>
            <w:vAlign w:val="center"/>
          </w:tcPr>
          <w:p w14:paraId="07F580CA" w14:textId="77777777" w:rsidR="000D6F79" w:rsidRPr="003B3046" w:rsidRDefault="000D6F79" w:rsidP="00BA2CDE">
            <w:pPr>
              <w:spacing w:after="0"/>
              <w:jc w:val="center"/>
              <w:rPr>
                <w:b/>
              </w:rPr>
            </w:pPr>
            <w:r w:rsidRPr="003B3046">
              <w:rPr>
                <w:b/>
              </w:rPr>
              <w:t>Year</w:t>
            </w:r>
          </w:p>
        </w:tc>
        <w:tc>
          <w:tcPr>
            <w:tcW w:w="987" w:type="dxa"/>
            <w:tcBorders>
              <w:bottom w:val="single" w:sz="4" w:space="0" w:color="auto"/>
            </w:tcBorders>
            <w:shd w:val="clear" w:color="auto" w:fill="F2F2F2"/>
          </w:tcPr>
          <w:p w14:paraId="07F580CB" w14:textId="77777777" w:rsidR="000D6F79" w:rsidRDefault="000D6F79" w:rsidP="00BA2CDE">
            <w:pPr>
              <w:spacing w:after="0"/>
              <w:jc w:val="center"/>
              <w:rPr>
                <w:b/>
              </w:rPr>
            </w:pPr>
            <w:r w:rsidRPr="003B3046">
              <w:rPr>
                <w:b/>
              </w:rPr>
              <w:t>P</w:t>
            </w:r>
            <w:r>
              <w:rPr>
                <w:b/>
              </w:rPr>
              <w:t>re</w:t>
            </w:r>
            <w:r w:rsidRPr="003B3046">
              <w:rPr>
                <w:b/>
              </w:rPr>
              <w:t>-tax cash flow</w:t>
            </w:r>
          </w:p>
          <w:p w14:paraId="07F580CC" w14:textId="77777777" w:rsidR="000D6F79" w:rsidRDefault="000D6F79" w:rsidP="00BA2CDE">
            <w:pPr>
              <w:spacing w:after="0"/>
              <w:jc w:val="center"/>
              <w:rPr>
                <w:b/>
              </w:rPr>
            </w:pPr>
            <w:r w:rsidRPr="003B3046">
              <w:rPr>
                <w:b/>
              </w:rPr>
              <w:t xml:space="preserve"> </w:t>
            </w:r>
          </w:p>
          <w:p w14:paraId="07F580CD" w14:textId="77777777" w:rsidR="000D6F79" w:rsidRPr="003B3046" w:rsidRDefault="000D6F79" w:rsidP="00BA2CDE">
            <w:pPr>
              <w:spacing w:after="0"/>
              <w:jc w:val="center"/>
              <w:rPr>
                <w:b/>
              </w:rPr>
            </w:pPr>
            <w:r>
              <w:rPr>
                <w:b/>
              </w:rPr>
              <w:t xml:space="preserve"> (a)</w:t>
            </w:r>
          </w:p>
          <w:p w14:paraId="07F580CE" w14:textId="77777777" w:rsidR="000D6F79" w:rsidRPr="003B3046" w:rsidRDefault="000D6F79" w:rsidP="004417F3">
            <w:pPr>
              <w:spacing w:after="0"/>
              <w:jc w:val="center"/>
              <w:rPr>
                <w:b/>
              </w:rPr>
            </w:pPr>
            <w:r w:rsidRPr="003B3046">
              <w:rPr>
                <w:b/>
              </w:rPr>
              <w:t>$</w:t>
            </w:r>
          </w:p>
        </w:tc>
        <w:tc>
          <w:tcPr>
            <w:tcW w:w="992" w:type="dxa"/>
            <w:shd w:val="clear" w:color="auto" w:fill="F2F2F2"/>
          </w:tcPr>
          <w:p w14:paraId="07F580CF" w14:textId="77777777" w:rsidR="000D6F79" w:rsidRDefault="00DF5F68" w:rsidP="00BA2CDE">
            <w:pPr>
              <w:spacing w:after="0"/>
              <w:jc w:val="center"/>
              <w:rPr>
                <w:b/>
              </w:rPr>
            </w:pPr>
            <w:r>
              <w:rPr>
                <w:b/>
              </w:rPr>
              <w:t>Income tax deprec</w:t>
            </w:r>
            <w:r w:rsidR="004417F3">
              <w:rPr>
                <w:b/>
              </w:rPr>
              <w:t>-</w:t>
            </w:r>
            <w:r>
              <w:rPr>
                <w:b/>
              </w:rPr>
              <w:t>iation</w:t>
            </w:r>
          </w:p>
          <w:p w14:paraId="07F580D0" w14:textId="77777777" w:rsidR="000D6F79" w:rsidRPr="003B3046" w:rsidRDefault="000D6F79" w:rsidP="00BA2CDE">
            <w:pPr>
              <w:spacing w:after="0"/>
              <w:jc w:val="center"/>
              <w:rPr>
                <w:b/>
              </w:rPr>
            </w:pPr>
            <w:r w:rsidRPr="003B3046">
              <w:rPr>
                <w:b/>
              </w:rPr>
              <w:t xml:space="preserve"> </w:t>
            </w:r>
            <w:r>
              <w:rPr>
                <w:b/>
              </w:rPr>
              <w:t>(</w:t>
            </w:r>
            <w:r w:rsidR="004417F3">
              <w:rPr>
                <w:b/>
              </w:rPr>
              <w:t>b</w:t>
            </w:r>
            <w:r>
              <w:rPr>
                <w:b/>
              </w:rPr>
              <w:t>)</w:t>
            </w:r>
          </w:p>
          <w:p w14:paraId="07F580D1" w14:textId="77777777" w:rsidR="000D6F79" w:rsidRPr="003B3046" w:rsidRDefault="000D6F79" w:rsidP="004417F3">
            <w:pPr>
              <w:spacing w:after="0"/>
              <w:jc w:val="center"/>
              <w:rPr>
                <w:b/>
              </w:rPr>
            </w:pPr>
            <w:r w:rsidRPr="003B3046">
              <w:rPr>
                <w:b/>
              </w:rPr>
              <w:t>$</w:t>
            </w:r>
          </w:p>
        </w:tc>
        <w:tc>
          <w:tcPr>
            <w:tcW w:w="996" w:type="dxa"/>
            <w:tcBorders>
              <w:bottom w:val="single" w:sz="4" w:space="0" w:color="auto"/>
            </w:tcBorders>
            <w:shd w:val="clear" w:color="auto" w:fill="F2F2F2"/>
          </w:tcPr>
          <w:p w14:paraId="07F580D2" w14:textId="77777777" w:rsidR="000D6F79" w:rsidRDefault="00DF5F68" w:rsidP="00BA2CDE">
            <w:pPr>
              <w:spacing w:after="0"/>
              <w:jc w:val="center"/>
              <w:rPr>
                <w:b/>
              </w:rPr>
            </w:pPr>
            <w:r>
              <w:rPr>
                <w:b/>
              </w:rPr>
              <w:t>Taxable income</w:t>
            </w:r>
          </w:p>
          <w:p w14:paraId="07F580D3" w14:textId="77777777" w:rsidR="004417F3" w:rsidRDefault="004417F3" w:rsidP="00BA2CDE">
            <w:pPr>
              <w:spacing w:after="0"/>
              <w:jc w:val="center"/>
              <w:rPr>
                <w:b/>
              </w:rPr>
            </w:pPr>
          </w:p>
          <w:p w14:paraId="07F580D4" w14:textId="77777777" w:rsidR="000D6F79" w:rsidRPr="003B3046" w:rsidRDefault="000D6F79" w:rsidP="00BA2CDE">
            <w:pPr>
              <w:spacing w:after="0"/>
              <w:jc w:val="center"/>
              <w:rPr>
                <w:b/>
              </w:rPr>
            </w:pPr>
            <w:r w:rsidRPr="003B3046">
              <w:rPr>
                <w:b/>
              </w:rPr>
              <w:t xml:space="preserve"> </w:t>
            </w:r>
          </w:p>
          <w:p w14:paraId="07F580D5" w14:textId="77777777" w:rsidR="000D6F79" w:rsidRPr="003B3046" w:rsidRDefault="000D6F79" w:rsidP="00BA2CDE">
            <w:pPr>
              <w:spacing w:after="0"/>
              <w:jc w:val="center"/>
              <w:rPr>
                <w:b/>
              </w:rPr>
            </w:pPr>
            <w:r>
              <w:rPr>
                <w:b/>
              </w:rPr>
              <w:t>(</w:t>
            </w:r>
            <w:r w:rsidR="004417F3">
              <w:rPr>
                <w:b/>
              </w:rPr>
              <w:t>c</w:t>
            </w:r>
            <w:r>
              <w:rPr>
                <w:b/>
              </w:rPr>
              <w:t>)</w:t>
            </w:r>
          </w:p>
          <w:p w14:paraId="07F580D6" w14:textId="77777777" w:rsidR="000D6F79" w:rsidRPr="003B3046" w:rsidRDefault="000D6F79" w:rsidP="004417F3">
            <w:pPr>
              <w:spacing w:after="0"/>
              <w:jc w:val="center"/>
              <w:rPr>
                <w:b/>
              </w:rPr>
            </w:pPr>
            <w:r w:rsidRPr="003B3046">
              <w:rPr>
                <w:b/>
              </w:rPr>
              <w:t>$</w:t>
            </w:r>
          </w:p>
        </w:tc>
        <w:tc>
          <w:tcPr>
            <w:tcW w:w="1133" w:type="dxa"/>
            <w:shd w:val="clear" w:color="auto" w:fill="F2F2F2"/>
          </w:tcPr>
          <w:p w14:paraId="07F580D7" w14:textId="77777777" w:rsidR="004417F3" w:rsidRPr="003B3046" w:rsidRDefault="000D6F79" w:rsidP="00BA2CDE">
            <w:pPr>
              <w:spacing w:after="0"/>
              <w:jc w:val="center"/>
              <w:rPr>
                <w:b/>
              </w:rPr>
            </w:pPr>
            <w:r>
              <w:rPr>
                <w:b/>
              </w:rPr>
              <w:t xml:space="preserve">Income tax </w:t>
            </w:r>
            <w:r w:rsidR="00DF5F68">
              <w:rPr>
                <w:b/>
              </w:rPr>
              <w:t>payments</w:t>
            </w:r>
            <w:r w:rsidR="00823AD4">
              <w:rPr>
                <w:b/>
              </w:rPr>
              <w:t xml:space="preserve"> at 30%</w:t>
            </w:r>
          </w:p>
          <w:p w14:paraId="07F580D8" w14:textId="77777777" w:rsidR="000D6F79" w:rsidRPr="003B3046" w:rsidRDefault="000D6F79" w:rsidP="00BA2CDE">
            <w:pPr>
              <w:spacing w:after="0"/>
              <w:jc w:val="center"/>
              <w:rPr>
                <w:b/>
              </w:rPr>
            </w:pPr>
            <w:r>
              <w:rPr>
                <w:b/>
              </w:rPr>
              <w:t>(</w:t>
            </w:r>
            <w:r w:rsidR="004417F3">
              <w:rPr>
                <w:b/>
              </w:rPr>
              <w:t>d</w:t>
            </w:r>
            <w:r>
              <w:rPr>
                <w:b/>
              </w:rPr>
              <w:t>)</w:t>
            </w:r>
          </w:p>
          <w:p w14:paraId="07F580D9" w14:textId="77777777" w:rsidR="000D6F79" w:rsidRPr="003B3046" w:rsidRDefault="000D6F79" w:rsidP="004417F3">
            <w:pPr>
              <w:spacing w:after="0"/>
              <w:jc w:val="center"/>
              <w:rPr>
                <w:b/>
              </w:rPr>
            </w:pPr>
            <w:r w:rsidRPr="003B3046">
              <w:rPr>
                <w:b/>
              </w:rPr>
              <w:t>$</w:t>
            </w:r>
          </w:p>
        </w:tc>
        <w:tc>
          <w:tcPr>
            <w:tcW w:w="1133" w:type="dxa"/>
            <w:shd w:val="clear" w:color="auto" w:fill="F2F2F2"/>
          </w:tcPr>
          <w:p w14:paraId="07F580DA" w14:textId="77777777" w:rsidR="000D6F79" w:rsidRDefault="00DF5F68" w:rsidP="00BA2CDE">
            <w:pPr>
              <w:spacing w:after="0"/>
              <w:jc w:val="center"/>
              <w:rPr>
                <w:b/>
              </w:rPr>
            </w:pPr>
            <w:r>
              <w:rPr>
                <w:b/>
              </w:rPr>
              <w:t xml:space="preserve">Post-income tax </w:t>
            </w:r>
            <w:r w:rsidR="000D6F79">
              <w:rPr>
                <w:b/>
              </w:rPr>
              <w:t xml:space="preserve">cash flow </w:t>
            </w:r>
            <w:r w:rsidR="000D6F79" w:rsidRPr="003B3046">
              <w:rPr>
                <w:b/>
              </w:rPr>
              <w:t xml:space="preserve"> </w:t>
            </w:r>
          </w:p>
          <w:p w14:paraId="07F580DB" w14:textId="77777777" w:rsidR="000D6F79" w:rsidRPr="003B3046" w:rsidRDefault="000D6F79" w:rsidP="00BA2CDE">
            <w:pPr>
              <w:spacing w:after="0"/>
              <w:jc w:val="center"/>
              <w:rPr>
                <w:b/>
              </w:rPr>
            </w:pPr>
            <w:r>
              <w:rPr>
                <w:b/>
              </w:rPr>
              <w:t xml:space="preserve"> (</w:t>
            </w:r>
            <w:r w:rsidR="004417F3">
              <w:rPr>
                <w:b/>
              </w:rPr>
              <w:t>e</w:t>
            </w:r>
            <w:r>
              <w:rPr>
                <w:b/>
              </w:rPr>
              <w:t>)</w:t>
            </w:r>
          </w:p>
          <w:p w14:paraId="07F580DC" w14:textId="77777777" w:rsidR="000D6F79" w:rsidRPr="003B3046" w:rsidRDefault="000D6F79" w:rsidP="004417F3">
            <w:pPr>
              <w:spacing w:after="0"/>
              <w:jc w:val="center"/>
              <w:rPr>
                <w:b/>
              </w:rPr>
            </w:pPr>
            <w:r w:rsidRPr="003B3046">
              <w:rPr>
                <w:b/>
              </w:rPr>
              <w:t>$</w:t>
            </w:r>
          </w:p>
        </w:tc>
        <w:tc>
          <w:tcPr>
            <w:tcW w:w="851" w:type="dxa"/>
            <w:shd w:val="clear" w:color="auto" w:fill="F2F2F2"/>
          </w:tcPr>
          <w:p w14:paraId="07F580DD" w14:textId="77777777" w:rsidR="000D6F79" w:rsidRDefault="00DF5F68" w:rsidP="00BA2CDE">
            <w:pPr>
              <w:spacing w:after="0"/>
              <w:jc w:val="center"/>
              <w:rPr>
                <w:b/>
              </w:rPr>
            </w:pPr>
            <w:r>
              <w:rPr>
                <w:b/>
              </w:rPr>
              <w:t>5% NCT</w:t>
            </w:r>
          </w:p>
          <w:p w14:paraId="07F580DE" w14:textId="77777777" w:rsidR="004417F3" w:rsidRDefault="004417F3" w:rsidP="00BA2CDE">
            <w:pPr>
              <w:spacing w:after="0"/>
              <w:jc w:val="center"/>
              <w:rPr>
                <w:b/>
              </w:rPr>
            </w:pPr>
          </w:p>
          <w:p w14:paraId="07F580DF" w14:textId="77777777" w:rsidR="000D6F79" w:rsidRDefault="000D6F79" w:rsidP="00BA2CDE">
            <w:pPr>
              <w:spacing w:after="0"/>
              <w:jc w:val="center"/>
              <w:rPr>
                <w:b/>
              </w:rPr>
            </w:pPr>
          </w:p>
          <w:p w14:paraId="07F580E0" w14:textId="77777777" w:rsidR="000D6F79" w:rsidRDefault="000D6F79" w:rsidP="00BA2CDE">
            <w:pPr>
              <w:spacing w:after="0"/>
              <w:jc w:val="center"/>
              <w:rPr>
                <w:b/>
              </w:rPr>
            </w:pPr>
            <w:r>
              <w:rPr>
                <w:b/>
              </w:rPr>
              <w:t>(</w:t>
            </w:r>
            <w:r w:rsidR="004417F3">
              <w:rPr>
                <w:b/>
              </w:rPr>
              <w:t>f</w:t>
            </w:r>
            <w:r>
              <w:rPr>
                <w:b/>
              </w:rPr>
              <w:t>)</w:t>
            </w:r>
          </w:p>
          <w:p w14:paraId="07F580E1" w14:textId="77777777" w:rsidR="000D6F79" w:rsidRPr="003B3046" w:rsidRDefault="000D6F79" w:rsidP="004417F3">
            <w:pPr>
              <w:spacing w:after="0"/>
              <w:jc w:val="center"/>
              <w:rPr>
                <w:b/>
              </w:rPr>
            </w:pPr>
            <w:r>
              <w:rPr>
                <w:b/>
              </w:rPr>
              <w:t>$</w:t>
            </w:r>
          </w:p>
        </w:tc>
        <w:tc>
          <w:tcPr>
            <w:tcW w:w="991" w:type="dxa"/>
            <w:tcBorders>
              <w:bottom w:val="single" w:sz="4" w:space="0" w:color="auto"/>
            </w:tcBorders>
            <w:shd w:val="clear" w:color="auto" w:fill="F2F2F2"/>
          </w:tcPr>
          <w:p w14:paraId="07F580E2" w14:textId="77777777" w:rsidR="000D6F79" w:rsidRDefault="000D6F79" w:rsidP="00BA2CDE">
            <w:pPr>
              <w:spacing w:after="0"/>
              <w:jc w:val="center"/>
              <w:rPr>
                <w:b/>
              </w:rPr>
            </w:pPr>
            <w:r w:rsidRPr="003B3046">
              <w:rPr>
                <w:b/>
              </w:rPr>
              <w:t>P</w:t>
            </w:r>
            <w:r>
              <w:rPr>
                <w:b/>
              </w:rPr>
              <w:t>ost</w:t>
            </w:r>
            <w:r w:rsidRPr="003B3046">
              <w:rPr>
                <w:b/>
              </w:rPr>
              <w:t>-</w:t>
            </w:r>
            <w:r>
              <w:rPr>
                <w:b/>
              </w:rPr>
              <w:t xml:space="preserve">all </w:t>
            </w:r>
            <w:r w:rsidRPr="003B3046">
              <w:rPr>
                <w:b/>
              </w:rPr>
              <w:t>tax</w:t>
            </w:r>
            <w:r>
              <w:rPr>
                <w:b/>
              </w:rPr>
              <w:t>es</w:t>
            </w:r>
            <w:r w:rsidRPr="003B3046">
              <w:rPr>
                <w:b/>
              </w:rPr>
              <w:t xml:space="preserve"> cash flow</w:t>
            </w:r>
          </w:p>
          <w:p w14:paraId="07F580E3" w14:textId="77777777" w:rsidR="000D6F79" w:rsidRDefault="000D6F79" w:rsidP="00BA2CDE">
            <w:pPr>
              <w:spacing w:after="0"/>
              <w:jc w:val="center"/>
              <w:rPr>
                <w:b/>
              </w:rPr>
            </w:pPr>
            <w:r>
              <w:rPr>
                <w:b/>
              </w:rPr>
              <w:t>(</w:t>
            </w:r>
            <w:r w:rsidR="004417F3">
              <w:rPr>
                <w:b/>
              </w:rPr>
              <w:t>g</w:t>
            </w:r>
            <w:r>
              <w:rPr>
                <w:b/>
              </w:rPr>
              <w:t>)</w:t>
            </w:r>
          </w:p>
          <w:p w14:paraId="07F580E4" w14:textId="77777777" w:rsidR="000D6F79" w:rsidRPr="003B3046" w:rsidRDefault="000D6F79" w:rsidP="004417F3">
            <w:pPr>
              <w:spacing w:after="0"/>
              <w:jc w:val="center"/>
              <w:rPr>
                <w:b/>
              </w:rPr>
            </w:pPr>
            <w:r>
              <w:rPr>
                <w:b/>
              </w:rPr>
              <w:t>$</w:t>
            </w:r>
          </w:p>
        </w:tc>
        <w:tc>
          <w:tcPr>
            <w:tcW w:w="1133" w:type="dxa"/>
            <w:tcBorders>
              <w:bottom w:val="single" w:sz="4" w:space="0" w:color="auto"/>
            </w:tcBorders>
            <w:shd w:val="clear" w:color="auto" w:fill="F2F2F2"/>
          </w:tcPr>
          <w:p w14:paraId="07F580E5" w14:textId="77777777" w:rsidR="004417F3" w:rsidRDefault="000D6F79" w:rsidP="000D6F79">
            <w:pPr>
              <w:spacing w:after="0"/>
              <w:jc w:val="center"/>
              <w:rPr>
                <w:b/>
              </w:rPr>
            </w:pPr>
            <w:r>
              <w:rPr>
                <w:b/>
              </w:rPr>
              <w:t>Total tax revenue</w:t>
            </w:r>
          </w:p>
          <w:p w14:paraId="07F580E6" w14:textId="77777777" w:rsidR="004417F3" w:rsidRDefault="004417F3" w:rsidP="000D6F79">
            <w:pPr>
              <w:spacing w:after="0"/>
              <w:jc w:val="center"/>
              <w:rPr>
                <w:b/>
              </w:rPr>
            </w:pPr>
          </w:p>
          <w:p w14:paraId="07F580E7" w14:textId="77777777" w:rsidR="004417F3" w:rsidRDefault="004417F3" w:rsidP="000D6F79">
            <w:pPr>
              <w:spacing w:after="0"/>
              <w:jc w:val="center"/>
              <w:rPr>
                <w:b/>
              </w:rPr>
            </w:pPr>
          </w:p>
          <w:p w14:paraId="07F580E8" w14:textId="77777777" w:rsidR="004417F3" w:rsidRDefault="004417F3" w:rsidP="000D6F79">
            <w:pPr>
              <w:spacing w:after="0"/>
              <w:jc w:val="center"/>
              <w:rPr>
                <w:b/>
              </w:rPr>
            </w:pPr>
            <w:r>
              <w:rPr>
                <w:b/>
              </w:rPr>
              <w:t>(h)</w:t>
            </w:r>
          </w:p>
          <w:p w14:paraId="07F580E9" w14:textId="77777777" w:rsidR="000D6F79" w:rsidRPr="003B3046" w:rsidRDefault="004417F3" w:rsidP="004417F3">
            <w:pPr>
              <w:spacing w:after="0"/>
              <w:jc w:val="center"/>
              <w:rPr>
                <w:b/>
              </w:rPr>
            </w:pPr>
            <w:r>
              <w:rPr>
                <w:b/>
              </w:rPr>
              <w:t>$</w:t>
            </w:r>
            <w:r w:rsidR="000D6F79">
              <w:rPr>
                <w:b/>
              </w:rPr>
              <w:t xml:space="preserve"> </w:t>
            </w:r>
          </w:p>
        </w:tc>
      </w:tr>
      <w:tr w:rsidR="001045F2" w14:paraId="07F580F4" w14:textId="77777777" w:rsidTr="00236275">
        <w:tc>
          <w:tcPr>
            <w:tcW w:w="681" w:type="dxa"/>
          </w:tcPr>
          <w:p w14:paraId="07F580EB" w14:textId="77777777" w:rsidR="001045F2" w:rsidRPr="003B3046" w:rsidRDefault="001045F2" w:rsidP="00BA2CDE">
            <w:pPr>
              <w:spacing w:after="0"/>
              <w:jc w:val="center"/>
              <w:rPr>
                <w:b/>
              </w:rPr>
            </w:pPr>
            <w:r w:rsidRPr="003B3046">
              <w:rPr>
                <w:b/>
              </w:rPr>
              <w:t>0</w:t>
            </w:r>
          </w:p>
        </w:tc>
        <w:tc>
          <w:tcPr>
            <w:tcW w:w="987" w:type="dxa"/>
            <w:shd w:val="clear" w:color="auto" w:fill="F2F2F2"/>
            <w:vAlign w:val="bottom"/>
          </w:tcPr>
          <w:p w14:paraId="07F580EC" w14:textId="77777777" w:rsidR="001045F2" w:rsidRDefault="001045F2">
            <w:pPr>
              <w:jc w:val="right"/>
              <w:rPr>
                <w:rFonts w:ascii="Calibri" w:hAnsi="Calibri" w:cs="Calibri"/>
                <w:color w:val="000000"/>
              </w:rPr>
            </w:pPr>
            <w:r>
              <w:rPr>
                <w:rFonts w:ascii="Calibri" w:hAnsi="Calibri" w:cs="Calibri"/>
                <w:color w:val="000000"/>
              </w:rPr>
              <w:t>-500000</w:t>
            </w:r>
          </w:p>
        </w:tc>
        <w:tc>
          <w:tcPr>
            <w:tcW w:w="992" w:type="dxa"/>
            <w:vAlign w:val="bottom"/>
          </w:tcPr>
          <w:p w14:paraId="07F580ED" w14:textId="77777777" w:rsidR="001045F2" w:rsidRDefault="001045F2">
            <w:pPr>
              <w:jc w:val="right"/>
              <w:rPr>
                <w:rFonts w:ascii="Calibri" w:hAnsi="Calibri" w:cs="Calibri"/>
                <w:color w:val="000000"/>
              </w:rPr>
            </w:pPr>
          </w:p>
        </w:tc>
        <w:tc>
          <w:tcPr>
            <w:tcW w:w="996" w:type="dxa"/>
            <w:shd w:val="clear" w:color="auto" w:fill="FFFFFF" w:themeFill="background1"/>
            <w:vAlign w:val="bottom"/>
          </w:tcPr>
          <w:p w14:paraId="07F580EE" w14:textId="77777777" w:rsidR="001045F2" w:rsidRDefault="001045F2">
            <w:pPr>
              <w:jc w:val="right"/>
              <w:rPr>
                <w:rFonts w:ascii="Calibri" w:hAnsi="Calibri" w:cs="Calibri"/>
                <w:color w:val="000000"/>
              </w:rPr>
            </w:pPr>
          </w:p>
        </w:tc>
        <w:tc>
          <w:tcPr>
            <w:tcW w:w="1133" w:type="dxa"/>
          </w:tcPr>
          <w:p w14:paraId="07F580EF" w14:textId="77777777" w:rsidR="001045F2" w:rsidRDefault="001045F2" w:rsidP="00BA2CDE">
            <w:pPr>
              <w:spacing w:after="0"/>
              <w:jc w:val="center"/>
            </w:pPr>
          </w:p>
        </w:tc>
        <w:tc>
          <w:tcPr>
            <w:tcW w:w="1133" w:type="dxa"/>
            <w:shd w:val="clear" w:color="auto" w:fill="F2F2F2" w:themeFill="background1" w:themeFillShade="F2"/>
            <w:vAlign w:val="bottom"/>
          </w:tcPr>
          <w:p w14:paraId="07F580F0" w14:textId="77777777" w:rsidR="001045F2" w:rsidRDefault="001045F2">
            <w:pPr>
              <w:jc w:val="right"/>
              <w:rPr>
                <w:rFonts w:ascii="Calibri" w:hAnsi="Calibri" w:cs="Calibri"/>
                <w:color w:val="000000"/>
              </w:rPr>
            </w:pPr>
            <w:r>
              <w:rPr>
                <w:rFonts w:ascii="Calibri" w:hAnsi="Calibri" w:cs="Calibri"/>
                <w:color w:val="000000"/>
              </w:rPr>
              <w:t>-500000</w:t>
            </w:r>
          </w:p>
        </w:tc>
        <w:tc>
          <w:tcPr>
            <w:tcW w:w="851" w:type="dxa"/>
            <w:vAlign w:val="bottom"/>
          </w:tcPr>
          <w:p w14:paraId="07F580F1" w14:textId="77777777" w:rsidR="001045F2" w:rsidRDefault="001045F2">
            <w:pPr>
              <w:jc w:val="right"/>
              <w:rPr>
                <w:rFonts w:ascii="Calibri" w:hAnsi="Calibri" w:cs="Calibri"/>
                <w:color w:val="000000"/>
              </w:rPr>
            </w:pPr>
            <w:r>
              <w:rPr>
                <w:rFonts w:ascii="Calibri" w:hAnsi="Calibri" w:cs="Calibri"/>
                <w:color w:val="000000"/>
              </w:rPr>
              <w:t>-25000</w:t>
            </w:r>
          </w:p>
        </w:tc>
        <w:tc>
          <w:tcPr>
            <w:tcW w:w="991" w:type="dxa"/>
            <w:shd w:val="clear" w:color="auto" w:fill="F2F2F2"/>
            <w:vAlign w:val="bottom"/>
          </w:tcPr>
          <w:p w14:paraId="07F580F2" w14:textId="77777777" w:rsidR="001045F2" w:rsidRDefault="001045F2">
            <w:pPr>
              <w:jc w:val="right"/>
              <w:rPr>
                <w:rFonts w:ascii="Calibri" w:hAnsi="Calibri" w:cs="Calibri"/>
                <w:color w:val="000000"/>
              </w:rPr>
            </w:pPr>
            <w:r>
              <w:rPr>
                <w:rFonts w:ascii="Calibri" w:hAnsi="Calibri" w:cs="Calibri"/>
                <w:color w:val="000000"/>
              </w:rPr>
              <w:t>-475000</w:t>
            </w:r>
          </w:p>
        </w:tc>
        <w:tc>
          <w:tcPr>
            <w:tcW w:w="1133" w:type="dxa"/>
            <w:shd w:val="clear" w:color="auto" w:fill="F2F2F2"/>
            <w:vAlign w:val="bottom"/>
          </w:tcPr>
          <w:p w14:paraId="07F580F3" w14:textId="77777777" w:rsidR="001045F2" w:rsidRDefault="001045F2">
            <w:pPr>
              <w:jc w:val="right"/>
              <w:rPr>
                <w:rFonts w:ascii="Calibri" w:hAnsi="Calibri" w:cs="Calibri"/>
                <w:color w:val="000000"/>
              </w:rPr>
            </w:pPr>
            <w:r>
              <w:rPr>
                <w:rFonts w:ascii="Calibri" w:hAnsi="Calibri" w:cs="Calibri"/>
                <w:color w:val="000000"/>
              </w:rPr>
              <w:t>-25000</w:t>
            </w:r>
          </w:p>
        </w:tc>
      </w:tr>
      <w:tr w:rsidR="001045F2" w14:paraId="07F580FE" w14:textId="77777777" w:rsidTr="00236275">
        <w:tc>
          <w:tcPr>
            <w:tcW w:w="681" w:type="dxa"/>
          </w:tcPr>
          <w:p w14:paraId="07F580F5" w14:textId="77777777" w:rsidR="001045F2" w:rsidRPr="003B3046" w:rsidRDefault="001045F2" w:rsidP="00BA2CDE">
            <w:pPr>
              <w:spacing w:after="0"/>
              <w:jc w:val="center"/>
              <w:rPr>
                <w:b/>
              </w:rPr>
            </w:pPr>
            <w:r w:rsidRPr="003B3046">
              <w:rPr>
                <w:b/>
              </w:rPr>
              <w:t>1</w:t>
            </w:r>
          </w:p>
        </w:tc>
        <w:tc>
          <w:tcPr>
            <w:tcW w:w="987" w:type="dxa"/>
            <w:shd w:val="clear" w:color="auto" w:fill="F2F2F2"/>
            <w:vAlign w:val="bottom"/>
          </w:tcPr>
          <w:p w14:paraId="07F580F6" w14:textId="77777777" w:rsidR="001045F2" w:rsidRDefault="001045F2">
            <w:pPr>
              <w:jc w:val="right"/>
              <w:rPr>
                <w:rFonts w:ascii="Calibri" w:hAnsi="Calibri" w:cs="Calibri"/>
                <w:color w:val="000000"/>
              </w:rPr>
            </w:pPr>
            <w:r>
              <w:rPr>
                <w:rFonts w:ascii="Calibri" w:hAnsi="Calibri" w:cs="Calibri"/>
                <w:color w:val="000000"/>
              </w:rPr>
              <w:t>131899</w:t>
            </w:r>
          </w:p>
        </w:tc>
        <w:tc>
          <w:tcPr>
            <w:tcW w:w="992" w:type="dxa"/>
            <w:vAlign w:val="bottom"/>
          </w:tcPr>
          <w:p w14:paraId="07F580F7" w14:textId="77777777" w:rsidR="001045F2" w:rsidRDefault="001045F2">
            <w:pPr>
              <w:jc w:val="right"/>
              <w:rPr>
                <w:rFonts w:ascii="Calibri" w:hAnsi="Calibri" w:cs="Calibri"/>
                <w:color w:val="000000"/>
              </w:rPr>
            </w:pPr>
            <w:r>
              <w:rPr>
                <w:rFonts w:ascii="Calibri" w:hAnsi="Calibri" w:cs="Calibri"/>
                <w:color w:val="000000"/>
              </w:rPr>
              <w:t>-100000</w:t>
            </w:r>
          </w:p>
        </w:tc>
        <w:tc>
          <w:tcPr>
            <w:tcW w:w="996" w:type="dxa"/>
            <w:shd w:val="clear" w:color="auto" w:fill="FFFFFF" w:themeFill="background1"/>
            <w:vAlign w:val="bottom"/>
          </w:tcPr>
          <w:p w14:paraId="07F580F8" w14:textId="77777777" w:rsidR="001045F2" w:rsidRDefault="001045F2">
            <w:pPr>
              <w:jc w:val="right"/>
              <w:rPr>
                <w:rFonts w:ascii="Calibri" w:hAnsi="Calibri" w:cs="Calibri"/>
                <w:color w:val="000000"/>
              </w:rPr>
            </w:pPr>
            <w:r>
              <w:rPr>
                <w:rFonts w:ascii="Calibri" w:hAnsi="Calibri" w:cs="Calibri"/>
                <w:color w:val="000000"/>
              </w:rPr>
              <w:t>31899</w:t>
            </w:r>
          </w:p>
        </w:tc>
        <w:tc>
          <w:tcPr>
            <w:tcW w:w="1133" w:type="dxa"/>
            <w:vAlign w:val="bottom"/>
          </w:tcPr>
          <w:p w14:paraId="07F580F9" w14:textId="77777777" w:rsidR="001045F2" w:rsidRDefault="001045F2">
            <w:pPr>
              <w:jc w:val="right"/>
              <w:rPr>
                <w:rFonts w:ascii="Calibri" w:hAnsi="Calibri" w:cs="Calibri"/>
                <w:color w:val="000000"/>
              </w:rPr>
            </w:pPr>
            <w:r>
              <w:rPr>
                <w:rFonts w:ascii="Calibri" w:hAnsi="Calibri" w:cs="Calibri"/>
                <w:color w:val="000000"/>
              </w:rPr>
              <w:t>9570</w:t>
            </w:r>
          </w:p>
        </w:tc>
        <w:tc>
          <w:tcPr>
            <w:tcW w:w="1133" w:type="dxa"/>
            <w:shd w:val="clear" w:color="auto" w:fill="F2F2F2" w:themeFill="background1" w:themeFillShade="F2"/>
            <w:vAlign w:val="bottom"/>
          </w:tcPr>
          <w:p w14:paraId="07F580FA" w14:textId="77777777" w:rsidR="001045F2" w:rsidRDefault="001045F2">
            <w:pPr>
              <w:jc w:val="right"/>
              <w:rPr>
                <w:rFonts w:ascii="Calibri" w:hAnsi="Calibri" w:cs="Calibri"/>
                <w:color w:val="000000"/>
              </w:rPr>
            </w:pPr>
            <w:r>
              <w:rPr>
                <w:rFonts w:ascii="Calibri" w:hAnsi="Calibri" w:cs="Calibri"/>
                <w:color w:val="000000"/>
              </w:rPr>
              <w:t>122329</w:t>
            </w:r>
          </w:p>
        </w:tc>
        <w:tc>
          <w:tcPr>
            <w:tcW w:w="851" w:type="dxa"/>
            <w:vAlign w:val="bottom"/>
          </w:tcPr>
          <w:p w14:paraId="07F580FB" w14:textId="77777777" w:rsidR="001045F2" w:rsidRDefault="001045F2">
            <w:pPr>
              <w:jc w:val="right"/>
              <w:rPr>
                <w:rFonts w:ascii="Calibri" w:hAnsi="Calibri" w:cs="Calibri"/>
                <w:color w:val="000000"/>
              </w:rPr>
            </w:pPr>
            <w:r>
              <w:rPr>
                <w:rFonts w:ascii="Calibri" w:hAnsi="Calibri" w:cs="Calibri"/>
                <w:color w:val="000000"/>
              </w:rPr>
              <w:t>6595</w:t>
            </w:r>
          </w:p>
        </w:tc>
        <w:tc>
          <w:tcPr>
            <w:tcW w:w="991" w:type="dxa"/>
            <w:shd w:val="clear" w:color="auto" w:fill="F2F2F2"/>
            <w:vAlign w:val="bottom"/>
          </w:tcPr>
          <w:p w14:paraId="07F580FC" w14:textId="77777777" w:rsidR="001045F2" w:rsidRDefault="001045F2">
            <w:pPr>
              <w:jc w:val="right"/>
              <w:rPr>
                <w:rFonts w:ascii="Calibri" w:hAnsi="Calibri" w:cs="Calibri"/>
                <w:color w:val="000000"/>
              </w:rPr>
            </w:pPr>
            <w:r>
              <w:rPr>
                <w:rFonts w:ascii="Calibri" w:hAnsi="Calibri" w:cs="Calibri"/>
                <w:color w:val="000000"/>
              </w:rPr>
              <w:t>115734</w:t>
            </w:r>
          </w:p>
        </w:tc>
        <w:tc>
          <w:tcPr>
            <w:tcW w:w="1133" w:type="dxa"/>
            <w:shd w:val="clear" w:color="auto" w:fill="F2F2F2"/>
            <w:vAlign w:val="bottom"/>
          </w:tcPr>
          <w:p w14:paraId="07F580FD" w14:textId="77777777" w:rsidR="001045F2" w:rsidRDefault="001045F2">
            <w:pPr>
              <w:jc w:val="right"/>
              <w:rPr>
                <w:rFonts w:ascii="Calibri" w:hAnsi="Calibri" w:cs="Calibri"/>
                <w:color w:val="000000"/>
              </w:rPr>
            </w:pPr>
            <w:r>
              <w:rPr>
                <w:rFonts w:ascii="Calibri" w:hAnsi="Calibri" w:cs="Calibri"/>
                <w:color w:val="000000"/>
              </w:rPr>
              <w:t>16165</w:t>
            </w:r>
          </w:p>
        </w:tc>
      </w:tr>
      <w:tr w:rsidR="001045F2" w14:paraId="07F58108" w14:textId="77777777" w:rsidTr="00236275">
        <w:tc>
          <w:tcPr>
            <w:tcW w:w="681" w:type="dxa"/>
          </w:tcPr>
          <w:p w14:paraId="07F580FF" w14:textId="77777777" w:rsidR="001045F2" w:rsidRPr="003B3046" w:rsidRDefault="001045F2" w:rsidP="00BA2CDE">
            <w:pPr>
              <w:spacing w:after="0"/>
              <w:jc w:val="center"/>
              <w:rPr>
                <w:b/>
              </w:rPr>
            </w:pPr>
            <w:r>
              <w:rPr>
                <w:b/>
              </w:rPr>
              <w:t>2</w:t>
            </w:r>
          </w:p>
        </w:tc>
        <w:tc>
          <w:tcPr>
            <w:tcW w:w="987" w:type="dxa"/>
            <w:shd w:val="clear" w:color="auto" w:fill="F2F2F2"/>
            <w:vAlign w:val="bottom"/>
          </w:tcPr>
          <w:p w14:paraId="07F58100" w14:textId="77777777" w:rsidR="001045F2" w:rsidRDefault="001045F2">
            <w:pPr>
              <w:jc w:val="right"/>
              <w:rPr>
                <w:rFonts w:ascii="Calibri" w:hAnsi="Calibri" w:cs="Calibri"/>
                <w:color w:val="000000"/>
              </w:rPr>
            </w:pPr>
            <w:r>
              <w:rPr>
                <w:rFonts w:ascii="Calibri" w:hAnsi="Calibri" w:cs="Calibri"/>
                <w:color w:val="000000"/>
              </w:rPr>
              <w:t>131899</w:t>
            </w:r>
          </w:p>
        </w:tc>
        <w:tc>
          <w:tcPr>
            <w:tcW w:w="992" w:type="dxa"/>
            <w:vAlign w:val="bottom"/>
          </w:tcPr>
          <w:p w14:paraId="07F58101" w14:textId="77777777" w:rsidR="001045F2" w:rsidRDefault="001045F2">
            <w:pPr>
              <w:jc w:val="right"/>
              <w:rPr>
                <w:rFonts w:ascii="Calibri" w:hAnsi="Calibri" w:cs="Calibri"/>
                <w:color w:val="000000"/>
              </w:rPr>
            </w:pPr>
            <w:r>
              <w:rPr>
                <w:rFonts w:ascii="Calibri" w:hAnsi="Calibri" w:cs="Calibri"/>
                <w:color w:val="000000"/>
              </w:rPr>
              <w:t>-100000</w:t>
            </w:r>
          </w:p>
        </w:tc>
        <w:tc>
          <w:tcPr>
            <w:tcW w:w="996" w:type="dxa"/>
            <w:shd w:val="clear" w:color="auto" w:fill="FFFFFF" w:themeFill="background1"/>
            <w:vAlign w:val="bottom"/>
          </w:tcPr>
          <w:p w14:paraId="07F58102" w14:textId="77777777" w:rsidR="001045F2" w:rsidRDefault="001045F2">
            <w:pPr>
              <w:jc w:val="right"/>
              <w:rPr>
                <w:rFonts w:ascii="Calibri" w:hAnsi="Calibri" w:cs="Calibri"/>
                <w:color w:val="000000"/>
              </w:rPr>
            </w:pPr>
            <w:r>
              <w:rPr>
                <w:rFonts w:ascii="Calibri" w:hAnsi="Calibri" w:cs="Calibri"/>
                <w:color w:val="000000"/>
              </w:rPr>
              <w:t>31899</w:t>
            </w:r>
          </w:p>
        </w:tc>
        <w:tc>
          <w:tcPr>
            <w:tcW w:w="1133" w:type="dxa"/>
            <w:vAlign w:val="bottom"/>
          </w:tcPr>
          <w:p w14:paraId="07F58103" w14:textId="77777777" w:rsidR="001045F2" w:rsidRDefault="001045F2">
            <w:pPr>
              <w:jc w:val="right"/>
              <w:rPr>
                <w:rFonts w:ascii="Calibri" w:hAnsi="Calibri" w:cs="Calibri"/>
                <w:color w:val="000000"/>
              </w:rPr>
            </w:pPr>
            <w:r>
              <w:rPr>
                <w:rFonts w:ascii="Calibri" w:hAnsi="Calibri" w:cs="Calibri"/>
                <w:color w:val="000000"/>
              </w:rPr>
              <w:t>9570</w:t>
            </w:r>
          </w:p>
        </w:tc>
        <w:tc>
          <w:tcPr>
            <w:tcW w:w="1133" w:type="dxa"/>
            <w:shd w:val="clear" w:color="auto" w:fill="F2F2F2" w:themeFill="background1" w:themeFillShade="F2"/>
            <w:vAlign w:val="bottom"/>
          </w:tcPr>
          <w:p w14:paraId="07F58104" w14:textId="77777777" w:rsidR="001045F2" w:rsidRDefault="001045F2">
            <w:pPr>
              <w:jc w:val="right"/>
              <w:rPr>
                <w:rFonts w:ascii="Calibri" w:hAnsi="Calibri" w:cs="Calibri"/>
                <w:color w:val="000000"/>
              </w:rPr>
            </w:pPr>
            <w:r>
              <w:rPr>
                <w:rFonts w:ascii="Calibri" w:hAnsi="Calibri" w:cs="Calibri"/>
                <w:color w:val="000000"/>
              </w:rPr>
              <w:t>122329</w:t>
            </w:r>
          </w:p>
        </w:tc>
        <w:tc>
          <w:tcPr>
            <w:tcW w:w="851" w:type="dxa"/>
            <w:vAlign w:val="bottom"/>
          </w:tcPr>
          <w:p w14:paraId="07F58105" w14:textId="77777777" w:rsidR="001045F2" w:rsidRDefault="001045F2">
            <w:pPr>
              <w:jc w:val="right"/>
              <w:rPr>
                <w:rFonts w:ascii="Calibri" w:hAnsi="Calibri" w:cs="Calibri"/>
                <w:color w:val="000000"/>
              </w:rPr>
            </w:pPr>
            <w:r>
              <w:rPr>
                <w:rFonts w:ascii="Calibri" w:hAnsi="Calibri" w:cs="Calibri"/>
                <w:color w:val="000000"/>
              </w:rPr>
              <w:t>6595</w:t>
            </w:r>
          </w:p>
        </w:tc>
        <w:tc>
          <w:tcPr>
            <w:tcW w:w="991" w:type="dxa"/>
            <w:shd w:val="clear" w:color="auto" w:fill="F2F2F2"/>
            <w:vAlign w:val="bottom"/>
          </w:tcPr>
          <w:p w14:paraId="07F58106" w14:textId="77777777" w:rsidR="001045F2" w:rsidRDefault="001045F2">
            <w:pPr>
              <w:jc w:val="right"/>
              <w:rPr>
                <w:rFonts w:ascii="Calibri" w:hAnsi="Calibri" w:cs="Calibri"/>
                <w:color w:val="000000"/>
              </w:rPr>
            </w:pPr>
            <w:r>
              <w:rPr>
                <w:rFonts w:ascii="Calibri" w:hAnsi="Calibri" w:cs="Calibri"/>
                <w:color w:val="000000"/>
              </w:rPr>
              <w:t>115734</w:t>
            </w:r>
          </w:p>
        </w:tc>
        <w:tc>
          <w:tcPr>
            <w:tcW w:w="1133" w:type="dxa"/>
            <w:shd w:val="clear" w:color="auto" w:fill="F2F2F2"/>
            <w:vAlign w:val="bottom"/>
          </w:tcPr>
          <w:p w14:paraId="07F58107" w14:textId="77777777" w:rsidR="001045F2" w:rsidRDefault="001045F2">
            <w:pPr>
              <w:jc w:val="right"/>
              <w:rPr>
                <w:rFonts w:ascii="Calibri" w:hAnsi="Calibri" w:cs="Calibri"/>
                <w:color w:val="000000"/>
              </w:rPr>
            </w:pPr>
            <w:r>
              <w:rPr>
                <w:rFonts w:ascii="Calibri" w:hAnsi="Calibri" w:cs="Calibri"/>
                <w:color w:val="000000"/>
              </w:rPr>
              <w:t>16165</w:t>
            </w:r>
          </w:p>
        </w:tc>
      </w:tr>
      <w:tr w:rsidR="001045F2" w14:paraId="07F58112" w14:textId="77777777" w:rsidTr="00236275">
        <w:tc>
          <w:tcPr>
            <w:tcW w:w="681" w:type="dxa"/>
          </w:tcPr>
          <w:p w14:paraId="07F58109" w14:textId="77777777" w:rsidR="001045F2" w:rsidRPr="003B3046" w:rsidRDefault="001045F2" w:rsidP="00BA2CDE">
            <w:pPr>
              <w:spacing w:after="0"/>
              <w:jc w:val="center"/>
              <w:rPr>
                <w:b/>
              </w:rPr>
            </w:pPr>
            <w:r w:rsidRPr="003B3046">
              <w:rPr>
                <w:b/>
              </w:rPr>
              <w:t>3</w:t>
            </w:r>
          </w:p>
        </w:tc>
        <w:tc>
          <w:tcPr>
            <w:tcW w:w="987" w:type="dxa"/>
            <w:shd w:val="clear" w:color="auto" w:fill="F2F2F2"/>
            <w:vAlign w:val="bottom"/>
          </w:tcPr>
          <w:p w14:paraId="07F5810A" w14:textId="77777777" w:rsidR="001045F2" w:rsidRDefault="001045F2">
            <w:pPr>
              <w:jc w:val="right"/>
              <w:rPr>
                <w:rFonts w:ascii="Calibri" w:hAnsi="Calibri" w:cs="Calibri"/>
                <w:color w:val="000000"/>
              </w:rPr>
            </w:pPr>
            <w:r>
              <w:rPr>
                <w:rFonts w:ascii="Calibri" w:hAnsi="Calibri" w:cs="Calibri"/>
                <w:color w:val="000000"/>
              </w:rPr>
              <w:t>131899</w:t>
            </w:r>
          </w:p>
        </w:tc>
        <w:tc>
          <w:tcPr>
            <w:tcW w:w="992" w:type="dxa"/>
            <w:vAlign w:val="bottom"/>
          </w:tcPr>
          <w:p w14:paraId="07F5810B" w14:textId="77777777" w:rsidR="001045F2" w:rsidRDefault="001045F2">
            <w:pPr>
              <w:jc w:val="right"/>
              <w:rPr>
                <w:rFonts w:ascii="Calibri" w:hAnsi="Calibri" w:cs="Calibri"/>
                <w:color w:val="000000"/>
              </w:rPr>
            </w:pPr>
            <w:r>
              <w:rPr>
                <w:rFonts w:ascii="Calibri" w:hAnsi="Calibri" w:cs="Calibri"/>
                <w:color w:val="000000"/>
              </w:rPr>
              <w:t>-100000</w:t>
            </w:r>
          </w:p>
        </w:tc>
        <w:tc>
          <w:tcPr>
            <w:tcW w:w="996" w:type="dxa"/>
            <w:shd w:val="clear" w:color="auto" w:fill="FFFFFF" w:themeFill="background1"/>
            <w:vAlign w:val="bottom"/>
          </w:tcPr>
          <w:p w14:paraId="07F5810C" w14:textId="77777777" w:rsidR="001045F2" w:rsidRDefault="001045F2">
            <w:pPr>
              <w:jc w:val="right"/>
              <w:rPr>
                <w:rFonts w:ascii="Calibri" w:hAnsi="Calibri" w:cs="Calibri"/>
                <w:color w:val="000000"/>
              </w:rPr>
            </w:pPr>
            <w:r>
              <w:rPr>
                <w:rFonts w:ascii="Calibri" w:hAnsi="Calibri" w:cs="Calibri"/>
                <w:color w:val="000000"/>
              </w:rPr>
              <w:t>31899</w:t>
            </w:r>
          </w:p>
        </w:tc>
        <w:tc>
          <w:tcPr>
            <w:tcW w:w="1133" w:type="dxa"/>
            <w:vAlign w:val="bottom"/>
          </w:tcPr>
          <w:p w14:paraId="07F5810D" w14:textId="77777777" w:rsidR="001045F2" w:rsidRDefault="001045F2">
            <w:pPr>
              <w:jc w:val="right"/>
              <w:rPr>
                <w:rFonts w:ascii="Calibri" w:hAnsi="Calibri" w:cs="Calibri"/>
                <w:color w:val="000000"/>
              </w:rPr>
            </w:pPr>
            <w:r>
              <w:rPr>
                <w:rFonts w:ascii="Calibri" w:hAnsi="Calibri" w:cs="Calibri"/>
                <w:color w:val="000000"/>
              </w:rPr>
              <w:t>9570</w:t>
            </w:r>
          </w:p>
        </w:tc>
        <w:tc>
          <w:tcPr>
            <w:tcW w:w="1133" w:type="dxa"/>
            <w:shd w:val="clear" w:color="auto" w:fill="F2F2F2" w:themeFill="background1" w:themeFillShade="F2"/>
            <w:vAlign w:val="bottom"/>
          </w:tcPr>
          <w:p w14:paraId="07F5810E" w14:textId="77777777" w:rsidR="001045F2" w:rsidRDefault="001045F2">
            <w:pPr>
              <w:jc w:val="right"/>
              <w:rPr>
                <w:rFonts w:ascii="Calibri" w:hAnsi="Calibri" w:cs="Calibri"/>
                <w:color w:val="000000"/>
              </w:rPr>
            </w:pPr>
            <w:r>
              <w:rPr>
                <w:rFonts w:ascii="Calibri" w:hAnsi="Calibri" w:cs="Calibri"/>
                <w:color w:val="000000"/>
              </w:rPr>
              <w:t>122329</w:t>
            </w:r>
          </w:p>
        </w:tc>
        <w:tc>
          <w:tcPr>
            <w:tcW w:w="851" w:type="dxa"/>
            <w:vAlign w:val="bottom"/>
          </w:tcPr>
          <w:p w14:paraId="07F5810F" w14:textId="77777777" w:rsidR="001045F2" w:rsidRDefault="001045F2">
            <w:pPr>
              <w:jc w:val="right"/>
              <w:rPr>
                <w:rFonts w:ascii="Calibri" w:hAnsi="Calibri" w:cs="Calibri"/>
                <w:color w:val="000000"/>
              </w:rPr>
            </w:pPr>
            <w:r>
              <w:rPr>
                <w:rFonts w:ascii="Calibri" w:hAnsi="Calibri" w:cs="Calibri"/>
                <w:color w:val="000000"/>
              </w:rPr>
              <w:t>6595</w:t>
            </w:r>
          </w:p>
        </w:tc>
        <w:tc>
          <w:tcPr>
            <w:tcW w:w="991" w:type="dxa"/>
            <w:shd w:val="clear" w:color="auto" w:fill="F2F2F2"/>
            <w:vAlign w:val="bottom"/>
          </w:tcPr>
          <w:p w14:paraId="07F58110" w14:textId="77777777" w:rsidR="001045F2" w:rsidRDefault="001045F2">
            <w:pPr>
              <w:jc w:val="right"/>
              <w:rPr>
                <w:rFonts w:ascii="Calibri" w:hAnsi="Calibri" w:cs="Calibri"/>
                <w:color w:val="000000"/>
              </w:rPr>
            </w:pPr>
            <w:r>
              <w:rPr>
                <w:rFonts w:ascii="Calibri" w:hAnsi="Calibri" w:cs="Calibri"/>
                <w:color w:val="000000"/>
              </w:rPr>
              <w:t>115734</w:t>
            </w:r>
          </w:p>
        </w:tc>
        <w:tc>
          <w:tcPr>
            <w:tcW w:w="1133" w:type="dxa"/>
            <w:shd w:val="clear" w:color="auto" w:fill="F2F2F2"/>
            <w:vAlign w:val="bottom"/>
          </w:tcPr>
          <w:p w14:paraId="07F58111" w14:textId="77777777" w:rsidR="001045F2" w:rsidRDefault="001045F2">
            <w:pPr>
              <w:jc w:val="right"/>
              <w:rPr>
                <w:rFonts w:ascii="Calibri" w:hAnsi="Calibri" w:cs="Calibri"/>
                <w:color w:val="000000"/>
              </w:rPr>
            </w:pPr>
            <w:r>
              <w:rPr>
                <w:rFonts w:ascii="Calibri" w:hAnsi="Calibri" w:cs="Calibri"/>
                <w:color w:val="000000"/>
              </w:rPr>
              <w:t>16165</w:t>
            </w:r>
          </w:p>
        </w:tc>
      </w:tr>
      <w:tr w:rsidR="001045F2" w14:paraId="07F5811C" w14:textId="77777777" w:rsidTr="00236275">
        <w:tc>
          <w:tcPr>
            <w:tcW w:w="681" w:type="dxa"/>
          </w:tcPr>
          <w:p w14:paraId="07F58113" w14:textId="77777777" w:rsidR="001045F2" w:rsidRPr="003B3046" w:rsidRDefault="001045F2" w:rsidP="00BA2CDE">
            <w:pPr>
              <w:spacing w:after="0"/>
              <w:jc w:val="center"/>
              <w:rPr>
                <w:b/>
              </w:rPr>
            </w:pPr>
            <w:r w:rsidRPr="003B3046">
              <w:rPr>
                <w:b/>
              </w:rPr>
              <w:t>4</w:t>
            </w:r>
          </w:p>
        </w:tc>
        <w:tc>
          <w:tcPr>
            <w:tcW w:w="987" w:type="dxa"/>
            <w:shd w:val="clear" w:color="auto" w:fill="F2F2F2"/>
            <w:vAlign w:val="bottom"/>
          </w:tcPr>
          <w:p w14:paraId="07F58114" w14:textId="77777777" w:rsidR="001045F2" w:rsidRDefault="001045F2">
            <w:pPr>
              <w:jc w:val="right"/>
              <w:rPr>
                <w:rFonts w:ascii="Calibri" w:hAnsi="Calibri" w:cs="Calibri"/>
                <w:color w:val="000000"/>
              </w:rPr>
            </w:pPr>
            <w:r>
              <w:rPr>
                <w:rFonts w:ascii="Calibri" w:hAnsi="Calibri" w:cs="Calibri"/>
                <w:color w:val="000000"/>
              </w:rPr>
              <w:t>131899</w:t>
            </w:r>
          </w:p>
        </w:tc>
        <w:tc>
          <w:tcPr>
            <w:tcW w:w="992" w:type="dxa"/>
            <w:vAlign w:val="bottom"/>
          </w:tcPr>
          <w:p w14:paraId="07F58115" w14:textId="77777777" w:rsidR="001045F2" w:rsidRDefault="001045F2">
            <w:pPr>
              <w:jc w:val="right"/>
              <w:rPr>
                <w:rFonts w:ascii="Calibri" w:hAnsi="Calibri" w:cs="Calibri"/>
                <w:color w:val="000000"/>
              </w:rPr>
            </w:pPr>
            <w:r>
              <w:rPr>
                <w:rFonts w:ascii="Calibri" w:hAnsi="Calibri" w:cs="Calibri"/>
                <w:color w:val="000000"/>
              </w:rPr>
              <w:t>-100000</w:t>
            </w:r>
          </w:p>
        </w:tc>
        <w:tc>
          <w:tcPr>
            <w:tcW w:w="996" w:type="dxa"/>
            <w:shd w:val="clear" w:color="auto" w:fill="FFFFFF" w:themeFill="background1"/>
            <w:vAlign w:val="bottom"/>
          </w:tcPr>
          <w:p w14:paraId="07F58116" w14:textId="77777777" w:rsidR="001045F2" w:rsidRDefault="001045F2">
            <w:pPr>
              <w:jc w:val="right"/>
              <w:rPr>
                <w:rFonts w:ascii="Calibri" w:hAnsi="Calibri" w:cs="Calibri"/>
                <w:color w:val="000000"/>
              </w:rPr>
            </w:pPr>
            <w:r>
              <w:rPr>
                <w:rFonts w:ascii="Calibri" w:hAnsi="Calibri" w:cs="Calibri"/>
                <w:color w:val="000000"/>
              </w:rPr>
              <w:t>31899</w:t>
            </w:r>
          </w:p>
        </w:tc>
        <w:tc>
          <w:tcPr>
            <w:tcW w:w="1133" w:type="dxa"/>
            <w:vAlign w:val="bottom"/>
          </w:tcPr>
          <w:p w14:paraId="07F58117" w14:textId="77777777" w:rsidR="001045F2" w:rsidRDefault="001045F2">
            <w:pPr>
              <w:jc w:val="right"/>
              <w:rPr>
                <w:rFonts w:ascii="Calibri" w:hAnsi="Calibri" w:cs="Calibri"/>
                <w:color w:val="000000"/>
              </w:rPr>
            </w:pPr>
            <w:r>
              <w:rPr>
                <w:rFonts w:ascii="Calibri" w:hAnsi="Calibri" w:cs="Calibri"/>
                <w:color w:val="000000"/>
              </w:rPr>
              <w:t>9570</w:t>
            </w:r>
          </w:p>
        </w:tc>
        <w:tc>
          <w:tcPr>
            <w:tcW w:w="1133" w:type="dxa"/>
            <w:shd w:val="clear" w:color="auto" w:fill="F2F2F2" w:themeFill="background1" w:themeFillShade="F2"/>
            <w:vAlign w:val="bottom"/>
          </w:tcPr>
          <w:p w14:paraId="07F58118" w14:textId="77777777" w:rsidR="001045F2" w:rsidRDefault="001045F2">
            <w:pPr>
              <w:jc w:val="right"/>
              <w:rPr>
                <w:rFonts w:ascii="Calibri" w:hAnsi="Calibri" w:cs="Calibri"/>
                <w:color w:val="000000"/>
              </w:rPr>
            </w:pPr>
            <w:r>
              <w:rPr>
                <w:rFonts w:ascii="Calibri" w:hAnsi="Calibri" w:cs="Calibri"/>
                <w:color w:val="000000"/>
              </w:rPr>
              <w:t>122329</w:t>
            </w:r>
          </w:p>
        </w:tc>
        <w:tc>
          <w:tcPr>
            <w:tcW w:w="851" w:type="dxa"/>
            <w:vAlign w:val="bottom"/>
          </w:tcPr>
          <w:p w14:paraId="07F58119" w14:textId="77777777" w:rsidR="001045F2" w:rsidRDefault="001045F2">
            <w:pPr>
              <w:jc w:val="right"/>
              <w:rPr>
                <w:rFonts w:ascii="Calibri" w:hAnsi="Calibri" w:cs="Calibri"/>
                <w:color w:val="000000"/>
              </w:rPr>
            </w:pPr>
            <w:r>
              <w:rPr>
                <w:rFonts w:ascii="Calibri" w:hAnsi="Calibri" w:cs="Calibri"/>
                <w:color w:val="000000"/>
              </w:rPr>
              <w:t>6595</w:t>
            </w:r>
          </w:p>
        </w:tc>
        <w:tc>
          <w:tcPr>
            <w:tcW w:w="991" w:type="dxa"/>
            <w:shd w:val="clear" w:color="auto" w:fill="F2F2F2"/>
            <w:vAlign w:val="bottom"/>
          </w:tcPr>
          <w:p w14:paraId="07F5811A" w14:textId="77777777" w:rsidR="001045F2" w:rsidRDefault="001045F2">
            <w:pPr>
              <w:jc w:val="right"/>
              <w:rPr>
                <w:rFonts w:ascii="Calibri" w:hAnsi="Calibri" w:cs="Calibri"/>
                <w:color w:val="000000"/>
              </w:rPr>
            </w:pPr>
            <w:r>
              <w:rPr>
                <w:rFonts w:ascii="Calibri" w:hAnsi="Calibri" w:cs="Calibri"/>
                <w:color w:val="000000"/>
              </w:rPr>
              <w:t>115734</w:t>
            </w:r>
          </w:p>
        </w:tc>
        <w:tc>
          <w:tcPr>
            <w:tcW w:w="1133" w:type="dxa"/>
            <w:shd w:val="clear" w:color="auto" w:fill="F2F2F2"/>
            <w:vAlign w:val="bottom"/>
          </w:tcPr>
          <w:p w14:paraId="07F5811B" w14:textId="77777777" w:rsidR="001045F2" w:rsidRDefault="001045F2">
            <w:pPr>
              <w:jc w:val="right"/>
              <w:rPr>
                <w:rFonts w:ascii="Calibri" w:hAnsi="Calibri" w:cs="Calibri"/>
                <w:color w:val="000000"/>
              </w:rPr>
            </w:pPr>
            <w:r>
              <w:rPr>
                <w:rFonts w:ascii="Calibri" w:hAnsi="Calibri" w:cs="Calibri"/>
                <w:color w:val="000000"/>
              </w:rPr>
              <w:t>16165</w:t>
            </w:r>
          </w:p>
        </w:tc>
      </w:tr>
      <w:tr w:rsidR="001045F2" w14:paraId="07F58126" w14:textId="77777777" w:rsidTr="00236275">
        <w:tc>
          <w:tcPr>
            <w:tcW w:w="681" w:type="dxa"/>
            <w:tcBorders>
              <w:bottom w:val="single" w:sz="4" w:space="0" w:color="auto"/>
            </w:tcBorders>
          </w:tcPr>
          <w:p w14:paraId="07F5811D" w14:textId="77777777" w:rsidR="001045F2" w:rsidRPr="003B3046" w:rsidRDefault="001045F2" w:rsidP="00BA2CDE">
            <w:pPr>
              <w:spacing w:after="0"/>
              <w:jc w:val="center"/>
              <w:rPr>
                <w:b/>
              </w:rPr>
            </w:pPr>
            <w:r w:rsidRPr="003B3046">
              <w:rPr>
                <w:b/>
              </w:rPr>
              <w:t>5</w:t>
            </w:r>
          </w:p>
        </w:tc>
        <w:tc>
          <w:tcPr>
            <w:tcW w:w="987" w:type="dxa"/>
            <w:tcBorders>
              <w:bottom w:val="single" w:sz="4" w:space="0" w:color="auto"/>
            </w:tcBorders>
            <w:shd w:val="clear" w:color="auto" w:fill="F2F2F2"/>
            <w:vAlign w:val="bottom"/>
          </w:tcPr>
          <w:p w14:paraId="07F5811E" w14:textId="77777777" w:rsidR="001045F2" w:rsidRDefault="001045F2">
            <w:pPr>
              <w:jc w:val="right"/>
              <w:rPr>
                <w:rFonts w:ascii="Calibri" w:hAnsi="Calibri" w:cs="Calibri"/>
                <w:color w:val="000000"/>
              </w:rPr>
            </w:pPr>
            <w:r>
              <w:rPr>
                <w:rFonts w:ascii="Calibri" w:hAnsi="Calibri" w:cs="Calibri"/>
                <w:color w:val="000000"/>
              </w:rPr>
              <w:t>131899</w:t>
            </w:r>
          </w:p>
        </w:tc>
        <w:tc>
          <w:tcPr>
            <w:tcW w:w="992" w:type="dxa"/>
            <w:tcBorders>
              <w:bottom w:val="single" w:sz="4" w:space="0" w:color="auto"/>
            </w:tcBorders>
            <w:vAlign w:val="bottom"/>
          </w:tcPr>
          <w:p w14:paraId="07F5811F" w14:textId="77777777" w:rsidR="001045F2" w:rsidRDefault="001045F2">
            <w:pPr>
              <w:jc w:val="right"/>
              <w:rPr>
                <w:rFonts w:ascii="Calibri" w:hAnsi="Calibri" w:cs="Calibri"/>
                <w:color w:val="000000"/>
              </w:rPr>
            </w:pPr>
            <w:r>
              <w:rPr>
                <w:rFonts w:ascii="Calibri" w:hAnsi="Calibri" w:cs="Calibri"/>
                <w:color w:val="000000"/>
              </w:rPr>
              <w:t>-100000</w:t>
            </w:r>
          </w:p>
        </w:tc>
        <w:tc>
          <w:tcPr>
            <w:tcW w:w="996" w:type="dxa"/>
            <w:tcBorders>
              <w:bottom w:val="single" w:sz="4" w:space="0" w:color="auto"/>
            </w:tcBorders>
            <w:shd w:val="clear" w:color="auto" w:fill="FFFFFF" w:themeFill="background1"/>
            <w:vAlign w:val="bottom"/>
          </w:tcPr>
          <w:p w14:paraId="07F58120" w14:textId="77777777" w:rsidR="001045F2" w:rsidRDefault="001045F2">
            <w:pPr>
              <w:jc w:val="right"/>
              <w:rPr>
                <w:rFonts w:ascii="Calibri" w:hAnsi="Calibri" w:cs="Calibri"/>
                <w:color w:val="000000"/>
              </w:rPr>
            </w:pPr>
            <w:r>
              <w:rPr>
                <w:rFonts w:ascii="Calibri" w:hAnsi="Calibri" w:cs="Calibri"/>
                <w:color w:val="000000"/>
              </w:rPr>
              <w:t>31899</w:t>
            </w:r>
          </w:p>
        </w:tc>
        <w:tc>
          <w:tcPr>
            <w:tcW w:w="1133" w:type="dxa"/>
            <w:tcBorders>
              <w:bottom w:val="single" w:sz="4" w:space="0" w:color="auto"/>
            </w:tcBorders>
            <w:vAlign w:val="bottom"/>
          </w:tcPr>
          <w:p w14:paraId="07F58121" w14:textId="77777777" w:rsidR="001045F2" w:rsidRDefault="001045F2">
            <w:pPr>
              <w:jc w:val="right"/>
              <w:rPr>
                <w:rFonts w:ascii="Calibri" w:hAnsi="Calibri" w:cs="Calibri"/>
                <w:color w:val="000000"/>
              </w:rPr>
            </w:pPr>
            <w:r>
              <w:rPr>
                <w:rFonts w:ascii="Calibri" w:hAnsi="Calibri" w:cs="Calibri"/>
                <w:color w:val="000000"/>
              </w:rPr>
              <w:t>9570</w:t>
            </w:r>
          </w:p>
        </w:tc>
        <w:tc>
          <w:tcPr>
            <w:tcW w:w="1133" w:type="dxa"/>
            <w:tcBorders>
              <w:bottom w:val="single" w:sz="4" w:space="0" w:color="auto"/>
            </w:tcBorders>
            <w:shd w:val="clear" w:color="auto" w:fill="F2F2F2" w:themeFill="background1" w:themeFillShade="F2"/>
            <w:vAlign w:val="bottom"/>
          </w:tcPr>
          <w:p w14:paraId="07F58122" w14:textId="77777777" w:rsidR="001045F2" w:rsidRDefault="001045F2">
            <w:pPr>
              <w:jc w:val="right"/>
              <w:rPr>
                <w:rFonts w:ascii="Calibri" w:hAnsi="Calibri" w:cs="Calibri"/>
                <w:color w:val="000000"/>
              </w:rPr>
            </w:pPr>
            <w:r>
              <w:rPr>
                <w:rFonts w:ascii="Calibri" w:hAnsi="Calibri" w:cs="Calibri"/>
                <w:color w:val="000000"/>
              </w:rPr>
              <w:t>122329</w:t>
            </w:r>
          </w:p>
        </w:tc>
        <w:tc>
          <w:tcPr>
            <w:tcW w:w="851" w:type="dxa"/>
            <w:tcBorders>
              <w:bottom w:val="single" w:sz="4" w:space="0" w:color="auto"/>
            </w:tcBorders>
            <w:vAlign w:val="bottom"/>
          </w:tcPr>
          <w:p w14:paraId="07F58123" w14:textId="77777777" w:rsidR="001045F2" w:rsidRDefault="001045F2">
            <w:pPr>
              <w:jc w:val="right"/>
              <w:rPr>
                <w:rFonts w:ascii="Calibri" w:hAnsi="Calibri" w:cs="Calibri"/>
                <w:color w:val="000000"/>
              </w:rPr>
            </w:pPr>
            <w:r>
              <w:rPr>
                <w:rFonts w:ascii="Calibri" w:hAnsi="Calibri" w:cs="Calibri"/>
                <w:color w:val="000000"/>
              </w:rPr>
              <w:t>6595</w:t>
            </w:r>
          </w:p>
        </w:tc>
        <w:tc>
          <w:tcPr>
            <w:tcW w:w="991" w:type="dxa"/>
            <w:tcBorders>
              <w:bottom w:val="single" w:sz="4" w:space="0" w:color="auto"/>
            </w:tcBorders>
            <w:shd w:val="clear" w:color="auto" w:fill="F2F2F2"/>
            <w:vAlign w:val="bottom"/>
          </w:tcPr>
          <w:p w14:paraId="07F58124" w14:textId="77777777" w:rsidR="001045F2" w:rsidRDefault="001045F2">
            <w:pPr>
              <w:jc w:val="right"/>
              <w:rPr>
                <w:rFonts w:ascii="Calibri" w:hAnsi="Calibri" w:cs="Calibri"/>
                <w:color w:val="000000"/>
              </w:rPr>
            </w:pPr>
            <w:r>
              <w:rPr>
                <w:rFonts w:ascii="Calibri" w:hAnsi="Calibri" w:cs="Calibri"/>
                <w:color w:val="000000"/>
              </w:rPr>
              <w:t>115734</w:t>
            </w:r>
          </w:p>
        </w:tc>
        <w:tc>
          <w:tcPr>
            <w:tcW w:w="1133" w:type="dxa"/>
            <w:tcBorders>
              <w:bottom w:val="single" w:sz="4" w:space="0" w:color="auto"/>
            </w:tcBorders>
            <w:shd w:val="clear" w:color="auto" w:fill="F2F2F2"/>
            <w:vAlign w:val="bottom"/>
          </w:tcPr>
          <w:p w14:paraId="07F58125" w14:textId="77777777" w:rsidR="001045F2" w:rsidRDefault="001045F2">
            <w:pPr>
              <w:jc w:val="right"/>
              <w:rPr>
                <w:rFonts w:ascii="Calibri" w:hAnsi="Calibri" w:cs="Calibri"/>
                <w:color w:val="000000"/>
              </w:rPr>
            </w:pPr>
            <w:r>
              <w:rPr>
                <w:rFonts w:ascii="Calibri" w:hAnsi="Calibri" w:cs="Calibri"/>
                <w:color w:val="000000"/>
              </w:rPr>
              <w:t>16165</w:t>
            </w:r>
          </w:p>
        </w:tc>
      </w:tr>
      <w:tr w:rsidR="000D6F79" w14:paraId="07F58130" w14:textId="77777777" w:rsidTr="00280252">
        <w:tc>
          <w:tcPr>
            <w:tcW w:w="681" w:type="dxa"/>
            <w:shd w:val="clear" w:color="auto" w:fill="F2F2F2"/>
          </w:tcPr>
          <w:p w14:paraId="07F58127" w14:textId="77777777" w:rsidR="000D6F79" w:rsidRPr="003B3046" w:rsidRDefault="000D6F79" w:rsidP="00BA2CDE">
            <w:pPr>
              <w:spacing w:after="0"/>
              <w:rPr>
                <w:b/>
              </w:rPr>
            </w:pPr>
            <w:r w:rsidRPr="003B3046">
              <w:rPr>
                <w:b/>
              </w:rPr>
              <w:t>NPV</w:t>
            </w:r>
          </w:p>
        </w:tc>
        <w:tc>
          <w:tcPr>
            <w:tcW w:w="987" w:type="dxa"/>
            <w:shd w:val="clear" w:color="auto" w:fill="F2F2F2"/>
          </w:tcPr>
          <w:p w14:paraId="07F58128" w14:textId="77777777" w:rsidR="000D6F79" w:rsidRPr="00D03345" w:rsidRDefault="000D6F79" w:rsidP="00FD1ECC">
            <w:pPr>
              <w:spacing w:after="0"/>
              <w:jc w:val="center"/>
              <w:rPr>
                <w:b/>
              </w:rPr>
            </w:pPr>
            <w:r w:rsidRPr="00D03345">
              <w:rPr>
                <w:b/>
              </w:rPr>
              <w:t>Zero</w:t>
            </w:r>
            <w:r>
              <w:rPr>
                <w:b/>
              </w:rPr>
              <w:t xml:space="preserve"> (</w:t>
            </w:r>
            <w:r w:rsidR="00FD1ECC">
              <w:rPr>
                <w:b/>
              </w:rPr>
              <w:t>i</w:t>
            </w:r>
            <w:r>
              <w:rPr>
                <w:b/>
              </w:rPr>
              <w:t>)</w:t>
            </w:r>
          </w:p>
        </w:tc>
        <w:tc>
          <w:tcPr>
            <w:tcW w:w="992" w:type="dxa"/>
            <w:shd w:val="clear" w:color="auto" w:fill="F2F2F2"/>
          </w:tcPr>
          <w:p w14:paraId="07F58129" w14:textId="77777777" w:rsidR="000D6F79" w:rsidRPr="00890336" w:rsidRDefault="000D6F79" w:rsidP="00FD1ECC">
            <w:pPr>
              <w:spacing w:after="0"/>
              <w:jc w:val="center"/>
              <w:rPr>
                <w:b/>
              </w:rPr>
            </w:pPr>
          </w:p>
        </w:tc>
        <w:tc>
          <w:tcPr>
            <w:tcW w:w="996" w:type="dxa"/>
            <w:shd w:val="clear" w:color="auto" w:fill="F2F2F2"/>
          </w:tcPr>
          <w:p w14:paraId="07F5812A" w14:textId="77777777" w:rsidR="000D6F79" w:rsidRPr="00D90B3B" w:rsidRDefault="000D6F79" w:rsidP="00FD1ECC">
            <w:pPr>
              <w:spacing w:after="0"/>
              <w:jc w:val="center"/>
              <w:rPr>
                <w:b/>
              </w:rPr>
            </w:pPr>
          </w:p>
        </w:tc>
        <w:tc>
          <w:tcPr>
            <w:tcW w:w="1133" w:type="dxa"/>
            <w:shd w:val="clear" w:color="auto" w:fill="F2F2F2"/>
          </w:tcPr>
          <w:p w14:paraId="07F5812B" w14:textId="77777777" w:rsidR="000D6F79" w:rsidRPr="00890336" w:rsidRDefault="001045F2" w:rsidP="009F31DA">
            <w:pPr>
              <w:spacing w:after="0"/>
              <w:jc w:val="center"/>
              <w:rPr>
                <w:b/>
              </w:rPr>
            </w:pPr>
            <w:r>
              <w:rPr>
                <w:b/>
              </w:rPr>
              <w:t>$32,979</w:t>
            </w:r>
            <w:r w:rsidR="00C25376">
              <w:rPr>
                <w:b/>
              </w:rPr>
              <w:t>(</w:t>
            </w:r>
            <w:r w:rsidR="00FD1ECC">
              <w:rPr>
                <w:b/>
              </w:rPr>
              <w:t>i</w:t>
            </w:r>
            <w:r w:rsidR="00C25376">
              <w:rPr>
                <w:b/>
              </w:rPr>
              <w:t>)</w:t>
            </w:r>
          </w:p>
        </w:tc>
        <w:tc>
          <w:tcPr>
            <w:tcW w:w="1133" w:type="dxa"/>
            <w:shd w:val="clear" w:color="auto" w:fill="FFFFFF" w:themeFill="background1"/>
          </w:tcPr>
          <w:p w14:paraId="07F5812C" w14:textId="77777777" w:rsidR="000D6F79" w:rsidRPr="00890336" w:rsidRDefault="006F352B" w:rsidP="00BA2CDE">
            <w:pPr>
              <w:spacing w:after="0"/>
              <w:jc w:val="center"/>
              <w:rPr>
                <w:b/>
              </w:rPr>
            </w:pPr>
            <w:r>
              <w:rPr>
                <w:b/>
              </w:rPr>
              <w:t>$1,471(j)</w:t>
            </w:r>
          </w:p>
        </w:tc>
        <w:tc>
          <w:tcPr>
            <w:tcW w:w="851" w:type="dxa"/>
            <w:shd w:val="clear" w:color="auto" w:fill="F2F2F2"/>
          </w:tcPr>
          <w:p w14:paraId="07F5812D" w14:textId="77777777" w:rsidR="000D6F79" w:rsidRDefault="001045F2" w:rsidP="009F31DA">
            <w:pPr>
              <w:spacing w:after="0"/>
              <w:jc w:val="center"/>
              <w:rPr>
                <w:b/>
              </w:rPr>
            </w:pPr>
            <w:r>
              <w:rPr>
                <w:b/>
              </w:rPr>
              <w:t>Zero</w:t>
            </w:r>
            <w:r w:rsidR="009F31DA">
              <w:rPr>
                <w:b/>
              </w:rPr>
              <w:t>(i)</w:t>
            </w:r>
          </w:p>
        </w:tc>
        <w:tc>
          <w:tcPr>
            <w:tcW w:w="991" w:type="dxa"/>
            <w:shd w:val="clear" w:color="auto" w:fill="FFFFFF" w:themeFill="background1"/>
          </w:tcPr>
          <w:p w14:paraId="07F5812E" w14:textId="77777777" w:rsidR="000D6F79" w:rsidRDefault="001045F2" w:rsidP="00500E89">
            <w:pPr>
              <w:spacing w:after="0"/>
              <w:jc w:val="center"/>
              <w:rPr>
                <w:b/>
              </w:rPr>
            </w:pPr>
            <w:r w:rsidRPr="009F31DA">
              <w:rPr>
                <w:b/>
              </w:rPr>
              <w:t>-</w:t>
            </w:r>
            <w:r w:rsidR="000D6F79" w:rsidRPr="009F31DA">
              <w:rPr>
                <w:b/>
              </w:rPr>
              <w:t>$</w:t>
            </w:r>
            <w:r w:rsidRPr="009F31DA">
              <w:rPr>
                <w:b/>
              </w:rPr>
              <w:t>436</w:t>
            </w:r>
            <w:r w:rsidR="000D6F79">
              <w:rPr>
                <w:b/>
              </w:rPr>
              <w:t xml:space="preserve"> (</w:t>
            </w:r>
            <w:r w:rsidR="00500E89">
              <w:rPr>
                <w:b/>
              </w:rPr>
              <w:t>j</w:t>
            </w:r>
            <w:r w:rsidR="000D6F79">
              <w:rPr>
                <w:b/>
              </w:rPr>
              <w:t>)</w:t>
            </w:r>
          </w:p>
        </w:tc>
        <w:tc>
          <w:tcPr>
            <w:tcW w:w="1133" w:type="dxa"/>
            <w:shd w:val="clear" w:color="auto" w:fill="F2F2F2"/>
          </w:tcPr>
          <w:p w14:paraId="07F5812F" w14:textId="77777777" w:rsidR="000D6F79" w:rsidRDefault="000D6F79" w:rsidP="009F31DA">
            <w:pPr>
              <w:spacing w:after="0"/>
              <w:jc w:val="center"/>
              <w:rPr>
                <w:b/>
              </w:rPr>
            </w:pPr>
            <w:r>
              <w:rPr>
                <w:b/>
              </w:rPr>
              <w:t>$3</w:t>
            </w:r>
            <w:r w:rsidR="00C25376">
              <w:rPr>
                <w:b/>
              </w:rPr>
              <w:t>2,979</w:t>
            </w:r>
            <w:r>
              <w:rPr>
                <w:b/>
              </w:rPr>
              <w:t>(</w:t>
            </w:r>
            <w:r w:rsidR="00FD1ECC">
              <w:rPr>
                <w:b/>
              </w:rPr>
              <w:t>i</w:t>
            </w:r>
            <w:r>
              <w:rPr>
                <w:b/>
              </w:rPr>
              <w:t>)</w:t>
            </w:r>
          </w:p>
        </w:tc>
      </w:tr>
      <w:tr w:rsidR="000D6F79" w14:paraId="07F5813A" w14:textId="77777777" w:rsidTr="00280252">
        <w:tc>
          <w:tcPr>
            <w:tcW w:w="681" w:type="dxa"/>
            <w:shd w:val="clear" w:color="auto" w:fill="F2F2F2"/>
          </w:tcPr>
          <w:p w14:paraId="07F58131" w14:textId="77777777" w:rsidR="000D6F79" w:rsidRPr="003B3046" w:rsidRDefault="000D6F79" w:rsidP="00236275">
            <w:pPr>
              <w:spacing w:after="0"/>
              <w:rPr>
                <w:b/>
              </w:rPr>
            </w:pPr>
            <w:r w:rsidRPr="003B3046">
              <w:rPr>
                <w:b/>
              </w:rPr>
              <w:t>IRR</w:t>
            </w:r>
          </w:p>
        </w:tc>
        <w:tc>
          <w:tcPr>
            <w:tcW w:w="987" w:type="dxa"/>
            <w:shd w:val="clear" w:color="auto" w:fill="F2F2F2"/>
          </w:tcPr>
          <w:p w14:paraId="07F58132" w14:textId="77777777" w:rsidR="000D6F79" w:rsidRPr="00D03345" w:rsidRDefault="000D6F79" w:rsidP="00BA2CDE">
            <w:pPr>
              <w:spacing w:after="0"/>
              <w:jc w:val="center"/>
              <w:rPr>
                <w:b/>
              </w:rPr>
            </w:pPr>
            <w:r w:rsidRPr="00D03345">
              <w:rPr>
                <w:b/>
              </w:rPr>
              <w:t>10.0</w:t>
            </w:r>
            <w:r w:rsidR="00236275">
              <w:rPr>
                <w:b/>
              </w:rPr>
              <w:t>%</w:t>
            </w:r>
          </w:p>
        </w:tc>
        <w:tc>
          <w:tcPr>
            <w:tcW w:w="992" w:type="dxa"/>
            <w:shd w:val="clear" w:color="auto" w:fill="F2F2F2"/>
          </w:tcPr>
          <w:p w14:paraId="07F58133" w14:textId="77777777" w:rsidR="000D6F79" w:rsidRPr="00890336" w:rsidRDefault="000D6F79" w:rsidP="00BA2CDE">
            <w:pPr>
              <w:spacing w:after="0"/>
              <w:jc w:val="center"/>
              <w:rPr>
                <w:b/>
              </w:rPr>
            </w:pPr>
          </w:p>
        </w:tc>
        <w:tc>
          <w:tcPr>
            <w:tcW w:w="996" w:type="dxa"/>
            <w:shd w:val="clear" w:color="auto" w:fill="F2F2F2"/>
          </w:tcPr>
          <w:p w14:paraId="07F58134" w14:textId="77777777" w:rsidR="000D6F79" w:rsidRPr="00D90B3B" w:rsidRDefault="000D6F79" w:rsidP="00BA2CDE">
            <w:pPr>
              <w:spacing w:after="0"/>
              <w:jc w:val="center"/>
              <w:rPr>
                <w:b/>
              </w:rPr>
            </w:pPr>
          </w:p>
        </w:tc>
        <w:tc>
          <w:tcPr>
            <w:tcW w:w="1133" w:type="dxa"/>
            <w:shd w:val="clear" w:color="auto" w:fill="F2F2F2"/>
          </w:tcPr>
          <w:p w14:paraId="07F58135" w14:textId="77777777" w:rsidR="000D6F79" w:rsidRPr="00890336" w:rsidRDefault="000D6F79" w:rsidP="00BA2CDE">
            <w:pPr>
              <w:spacing w:after="0"/>
              <w:jc w:val="center"/>
              <w:rPr>
                <w:b/>
              </w:rPr>
            </w:pPr>
          </w:p>
        </w:tc>
        <w:tc>
          <w:tcPr>
            <w:tcW w:w="1133" w:type="dxa"/>
            <w:shd w:val="clear" w:color="auto" w:fill="FFFFFF" w:themeFill="background1"/>
          </w:tcPr>
          <w:p w14:paraId="07F58136" w14:textId="77777777" w:rsidR="000D6F79" w:rsidRPr="00890336" w:rsidRDefault="001045F2" w:rsidP="00BA2CDE">
            <w:pPr>
              <w:spacing w:after="0"/>
              <w:jc w:val="center"/>
              <w:rPr>
                <w:b/>
              </w:rPr>
            </w:pPr>
            <w:r>
              <w:rPr>
                <w:b/>
              </w:rPr>
              <w:t>7.12</w:t>
            </w:r>
            <w:r w:rsidR="00236275">
              <w:rPr>
                <w:b/>
              </w:rPr>
              <w:t>%</w:t>
            </w:r>
          </w:p>
        </w:tc>
        <w:tc>
          <w:tcPr>
            <w:tcW w:w="851" w:type="dxa"/>
            <w:shd w:val="clear" w:color="auto" w:fill="F2F2F2"/>
          </w:tcPr>
          <w:p w14:paraId="07F58137" w14:textId="77777777" w:rsidR="000D6F79" w:rsidRDefault="001045F2" w:rsidP="00BA2CDE">
            <w:pPr>
              <w:spacing w:after="0"/>
              <w:jc w:val="center"/>
              <w:rPr>
                <w:b/>
              </w:rPr>
            </w:pPr>
            <w:r>
              <w:rPr>
                <w:b/>
              </w:rPr>
              <w:t>10.0</w:t>
            </w:r>
            <w:r w:rsidR="00236275">
              <w:rPr>
                <w:b/>
              </w:rPr>
              <w:t>%</w:t>
            </w:r>
          </w:p>
        </w:tc>
        <w:tc>
          <w:tcPr>
            <w:tcW w:w="991" w:type="dxa"/>
            <w:shd w:val="clear" w:color="auto" w:fill="FFFFFF" w:themeFill="background1"/>
          </w:tcPr>
          <w:p w14:paraId="07F58138" w14:textId="77777777" w:rsidR="000D6F79" w:rsidRPr="009F31DA" w:rsidRDefault="00C25376" w:rsidP="00335945">
            <w:pPr>
              <w:spacing w:after="0"/>
              <w:jc w:val="center"/>
              <w:rPr>
                <w:b/>
              </w:rPr>
            </w:pPr>
            <w:r w:rsidRPr="009F31DA">
              <w:rPr>
                <w:b/>
              </w:rPr>
              <w:t>6.96</w:t>
            </w:r>
            <w:r w:rsidR="00236275">
              <w:rPr>
                <w:b/>
              </w:rPr>
              <w:t>%</w:t>
            </w:r>
          </w:p>
        </w:tc>
        <w:tc>
          <w:tcPr>
            <w:tcW w:w="1133" w:type="dxa"/>
            <w:shd w:val="clear" w:color="auto" w:fill="F2F2F2"/>
          </w:tcPr>
          <w:p w14:paraId="07F58139" w14:textId="77777777" w:rsidR="000D6F79" w:rsidRDefault="000D6F79" w:rsidP="00335945">
            <w:pPr>
              <w:spacing w:after="0"/>
              <w:jc w:val="center"/>
              <w:rPr>
                <w:b/>
              </w:rPr>
            </w:pPr>
          </w:p>
        </w:tc>
      </w:tr>
      <w:tr w:rsidR="001045F2" w14:paraId="07F58144" w14:textId="77777777" w:rsidTr="00236275">
        <w:tc>
          <w:tcPr>
            <w:tcW w:w="681" w:type="dxa"/>
            <w:shd w:val="clear" w:color="auto" w:fill="F2F2F2"/>
          </w:tcPr>
          <w:p w14:paraId="07F5813B" w14:textId="77777777" w:rsidR="001045F2" w:rsidRPr="003B3046" w:rsidRDefault="001045F2" w:rsidP="00BA2CDE">
            <w:pPr>
              <w:spacing w:after="0"/>
              <w:rPr>
                <w:b/>
              </w:rPr>
            </w:pPr>
            <w:r>
              <w:rPr>
                <w:b/>
              </w:rPr>
              <w:t>Sum</w:t>
            </w:r>
          </w:p>
        </w:tc>
        <w:tc>
          <w:tcPr>
            <w:tcW w:w="987" w:type="dxa"/>
            <w:shd w:val="clear" w:color="auto" w:fill="F2F2F2"/>
          </w:tcPr>
          <w:p w14:paraId="07F5813C" w14:textId="77777777" w:rsidR="001045F2" w:rsidRPr="00D03345" w:rsidRDefault="001045F2" w:rsidP="00BA2CDE">
            <w:pPr>
              <w:spacing w:after="0"/>
              <w:jc w:val="center"/>
              <w:rPr>
                <w:b/>
              </w:rPr>
            </w:pPr>
          </w:p>
        </w:tc>
        <w:tc>
          <w:tcPr>
            <w:tcW w:w="992" w:type="dxa"/>
            <w:shd w:val="clear" w:color="auto" w:fill="F2F2F2"/>
          </w:tcPr>
          <w:p w14:paraId="07F5813D" w14:textId="77777777" w:rsidR="001045F2" w:rsidRDefault="001045F2" w:rsidP="00BA2CDE">
            <w:pPr>
              <w:spacing w:after="0"/>
              <w:jc w:val="center"/>
              <w:rPr>
                <w:b/>
              </w:rPr>
            </w:pPr>
          </w:p>
        </w:tc>
        <w:tc>
          <w:tcPr>
            <w:tcW w:w="996" w:type="dxa"/>
            <w:shd w:val="clear" w:color="auto" w:fill="F2F2F2"/>
          </w:tcPr>
          <w:p w14:paraId="07F5813E" w14:textId="77777777" w:rsidR="001045F2" w:rsidRPr="00D90B3B" w:rsidRDefault="001045F2" w:rsidP="00BA2CDE">
            <w:pPr>
              <w:spacing w:after="0"/>
              <w:jc w:val="center"/>
              <w:rPr>
                <w:b/>
              </w:rPr>
            </w:pPr>
          </w:p>
        </w:tc>
        <w:tc>
          <w:tcPr>
            <w:tcW w:w="1133" w:type="dxa"/>
            <w:shd w:val="clear" w:color="auto" w:fill="F2F2F2"/>
          </w:tcPr>
          <w:p w14:paraId="07F5813F" w14:textId="77777777" w:rsidR="001045F2" w:rsidRPr="00890336" w:rsidRDefault="00C25376" w:rsidP="00BA2CDE">
            <w:pPr>
              <w:spacing w:after="0"/>
              <w:jc w:val="center"/>
              <w:rPr>
                <w:b/>
              </w:rPr>
            </w:pPr>
            <w:r>
              <w:rPr>
                <w:b/>
              </w:rPr>
              <w:t>$47,849</w:t>
            </w:r>
          </w:p>
        </w:tc>
        <w:tc>
          <w:tcPr>
            <w:tcW w:w="1133" w:type="dxa"/>
            <w:shd w:val="clear" w:color="auto" w:fill="F2F2F2"/>
          </w:tcPr>
          <w:p w14:paraId="07F58140" w14:textId="77777777" w:rsidR="001045F2" w:rsidRDefault="001045F2" w:rsidP="00BA2CDE">
            <w:pPr>
              <w:spacing w:after="0"/>
              <w:jc w:val="center"/>
              <w:rPr>
                <w:b/>
              </w:rPr>
            </w:pPr>
          </w:p>
        </w:tc>
        <w:tc>
          <w:tcPr>
            <w:tcW w:w="851" w:type="dxa"/>
            <w:shd w:val="clear" w:color="auto" w:fill="F2F2F2"/>
          </w:tcPr>
          <w:p w14:paraId="07F58141" w14:textId="77777777" w:rsidR="001045F2" w:rsidRDefault="00C25376" w:rsidP="00BA2CDE">
            <w:pPr>
              <w:spacing w:after="0"/>
              <w:jc w:val="center"/>
              <w:rPr>
                <w:b/>
              </w:rPr>
            </w:pPr>
            <w:r>
              <w:rPr>
                <w:b/>
              </w:rPr>
              <w:t>$7,975</w:t>
            </w:r>
          </w:p>
        </w:tc>
        <w:tc>
          <w:tcPr>
            <w:tcW w:w="991" w:type="dxa"/>
            <w:shd w:val="clear" w:color="auto" w:fill="F2F2F2"/>
          </w:tcPr>
          <w:p w14:paraId="07F58142" w14:textId="77777777" w:rsidR="001045F2" w:rsidRDefault="001045F2" w:rsidP="00335945">
            <w:pPr>
              <w:spacing w:after="0"/>
              <w:jc w:val="center"/>
              <w:rPr>
                <w:b/>
              </w:rPr>
            </w:pPr>
          </w:p>
        </w:tc>
        <w:tc>
          <w:tcPr>
            <w:tcW w:w="1133" w:type="dxa"/>
            <w:shd w:val="clear" w:color="auto" w:fill="F2F2F2"/>
          </w:tcPr>
          <w:p w14:paraId="07F58143" w14:textId="77777777" w:rsidR="001045F2" w:rsidRDefault="00C25376" w:rsidP="00335945">
            <w:pPr>
              <w:spacing w:after="0"/>
              <w:jc w:val="center"/>
              <w:rPr>
                <w:b/>
              </w:rPr>
            </w:pPr>
            <w:r>
              <w:rPr>
                <w:b/>
              </w:rPr>
              <w:t>$55,823</w:t>
            </w:r>
          </w:p>
        </w:tc>
      </w:tr>
    </w:tbl>
    <w:p w14:paraId="07F58145" w14:textId="77777777" w:rsidR="00435BDC" w:rsidRDefault="00435BDC" w:rsidP="00435BDC">
      <w:pPr>
        <w:numPr>
          <w:ilvl w:val="0"/>
          <w:numId w:val="6"/>
        </w:numPr>
        <w:spacing w:after="0"/>
      </w:pPr>
      <w:r>
        <w:t>As in Table</w:t>
      </w:r>
      <w:r w:rsidR="004417F3">
        <w:t xml:space="preserve"> B.7 of interim report</w:t>
      </w:r>
      <w:r>
        <w:t>.</w:t>
      </w:r>
    </w:p>
    <w:p w14:paraId="07F58146" w14:textId="77777777" w:rsidR="004417F3" w:rsidRDefault="004417F3" w:rsidP="00435BDC">
      <w:pPr>
        <w:numPr>
          <w:ilvl w:val="0"/>
          <w:numId w:val="6"/>
        </w:numPr>
        <w:spacing w:after="0"/>
      </w:pPr>
      <w:r>
        <w:t>As in Table B.7 of interim report.</w:t>
      </w:r>
      <w:r w:rsidR="00D739CB">
        <w:t xml:space="preserve"> Based on $5000,000 despite NCT’s 5% cut.</w:t>
      </w:r>
    </w:p>
    <w:p w14:paraId="07F58147" w14:textId="77777777" w:rsidR="004417F3" w:rsidRDefault="004417F3" w:rsidP="00435BDC">
      <w:pPr>
        <w:numPr>
          <w:ilvl w:val="0"/>
          <w:numId w:val="6"/>
        </w:numPr>
        <w:spacing w:after="0"/>
      </w:pPr>
      <w:r>
        <w:t>As in Table B.7 of interim report.</w:t>
      </w:r>
      <w:r w:rsidR="00D739CB">
        <w:t xml:space="preserve"> Based on pre-tax flows despite NCT’s 5% cut.</w:t>
      </w:r>
    </w:p>
    <w:p w14:paraId="07F58148" w14:textId="77777777" w:rsidR="004417F3" w:rsidRDefault="004417F3" w:rsidP="00435BDC">
      <w:pPr>
        <w:numPr>
          <w:ilvl w:val="0"/>
          <w:numId w:val="6"/>
        </w:numPr>
        <w:spacing w:after="0"/>
      </w:pPr>
      <w:r>
        <w:t>As in Table B.7 of interim report.</w:t>
      </w:r>
    </w:p>
    <w:p w14:paraId="07F58149" w14:textId="77777777" w:rsidR="004417F3" w:rsidRDefault="004417F3" w:rsidP="00435BDC">
      <w:pPr>
        <w:numPr>
          <w:ilvl w:val="0"/>
          <w:numId w:val="6"/>
        </w:numPr>
        <w:spacing w:after="0"/>
      </w:pPr>
      <w:r>
        <w:t>Column (a) less Column (</w:t>
      </w:r>
      <w:r w:rsidR="00FD1ECC">
        <w:t>d).</w:t>
      </w:r>
    </w:p>
    <w:p w14:paraId="07F5814A" w14:textId="77777777" w:rsidR="00435BDC" w:rsidRDefault="00FD1ECC" w:rsidP="00435BDC">
      <w:pPr>
        <w:numPr>
          <w:ilvl w:val="0"/>
          <w:numId w:val="6"/>
        </w:numPr>
        <w:spacing w:after="0"/>
      </w:pPr>
      <w:r>
        <w:t>5% x Column (a), as in Table B.7 of interim report.</w:t>
      </w:r>
      <w:r w:rsidR="00435BDC">
        <w:t xml:space="preserve"> </w:t>
      </w:r>
    </w:p>
    <w:p w14:paraId="07F5814B" w14:textId="77777777" w:rsidR="00FD1ECC" w:rsidRDefault="00FD1ECC" w:rsidP="00435BDC">
      <w:pPr>
        <w:numPr>
          <w:ilvl w:val="0"/>
          <w:numId w:val="6"/>
        </w:numPr>
        <w:spacing w:after="0"/>
      </w:pPr>
      <w:r>
        <w:t>Column (e) less Column (f).</w:t>
      </w:r>
      <w:r w:rsidR="00D739CB">
        <w:t xml:space="preserve"> NCT taken from post-income tax, not pre-tax, flows.</w:t>
      </w:r>
    </w:p>
    <w:p w14:paraId="07F5814C" w14:textId="77777777" w:rsidR="00435BDC" w:rsidRDefault="00FD1ECC" w:rsidP="00435BDC">
      <w:pPr>
        <w:numPr>
          <w:ilvl w:val="0"/>
          <w:numId w:val="6"/>
        </w:numPr>
        <w:spacing w:after="0"/>
      </w:pPr>
      <w:r>
        <w:t>Column (d) plus Column (f), as in Table B.7 of interim report</w:t>
      </w:r>
      <w:r w:rsidR="00435BDC">
        <w:t xml:space="preserve">. </w:t>
      </w:r>
    </w:p>
    <w:p w14:paraId="07F5814D" w14:textId="77777777" w:rsidR="00435BDC" w:rsidRDefault="00435BDC" w:rsidP="00435BDC">
      <w:pPr>
        <w:numPr>
          <w:ilvl w:val="0"/>
          <w:numId w:val="6"/>
        </w:numPr>
        <w:spacing w:after="0"/>
      </w:pPr>
      <w:r>
        <w:t>Discounting at 10% pa pre-all taxes discount rate.</w:t>
      </w:r>
    </w:p>
    <w:p w14:paraId="07F5814E" w14:textId="77777777" w:rsidR="00705337" w:rsidRDefault="00435BDC" w:rsidP="00936AC8">
      <w:pPr>
        <w:numPr>
          <w:ilvl w:val="0"/>
          <w:numId w:val="6"/>
        </w:numPr>
        <w:spacing w:after="0"/>
      </w:pPr>
      <w:r>
        <w:t>Discounting at investors’ post-income tax discount rate of 7% pa – that is, 10x(1-0.3)% pa.</w:t>
      </w:r>
    </w:p>
    <w:p w14:paraId="07F5814F" w14:textId="77777777" w:rsidR="000A2F07" w:rsidRDefault="000A2F07" w:rsidP="000A2F07">
      <w:pPr>
        <w:spacing w:after="0"/>
        <w:ind w:left="720"/>
      </w:pPr>
    </w:p>
    <w:p w14:paraId="07F58150" w14:textId="77777777" w:rsidR="00280252" w:rsidRDefault="00655578" w:rsidP="00936AC8">
      <w:r>
        <w:lastRenderedPageBreak/>
        <w:t xml:space="preserve">Table 1 </w:t>
      </w:r>
      <w:r w:rsidR="006423EA">
        <w:t>applies the proposed design to</w:t>
      </w:r>
      <w:r>
        <w:t xml:space="preserve"> the same pre-tax flows of the $500,000 investment as in Table B.7 (producing a 10% pa pre-tax return) and the same straight-line depreciation assumed for income tax purposes. </w:t>
      </w:r>
      <w:r w:rsidR="00D739CB">
        <w:t>Total and discounted income tax and NCT are the same in Table 1 and Table B.7. But, there are</w:t>
      </w:r>
      <w:r w:rsidR="00865F52">
        <w:t xml:space="preserve"> differences in </w:t>
      </w:r>
      <w:r w:rsidR="00D739CB">
        <w:t>rate of return</w:t>
      </w:r>
      <w:r w:rsidR="00865F52">
        <w:t xml:space="preserve"> and NPV outcomes in Table 1 compared to the tax</w:t>
      </w:r>
      <w:r>
        <w:t>-</w:t>
      </w:r>
      <w:r w:rsidR="00865F52">
        <w:t>neutral benchmark outcomes</w:t>
      </w:r>
      <w:r w:rsidR="00D739CB">
        <w:t>, differences which</w:t>
      </w:r>
      <w:r w:rsidR="00FF0997">
        <w:t xml:space="preserve"> </w:t>
      </w:r>
      <w:r w:rsidR="004A568C">
        <w:t>can be seen to arise from</w:t>
      </w:r>
      <w:r w:rsidR="00FF0997">
        <w:t xml:space="preserve">: </w:t>
      </w:r>
    </w:p>
    <w:p w14:paraId="07F58151" w14:textId="77777777" w:rsidR="00280252" w:rsidRDefault="00865F52" w:rsidP="00280252">
      <w:pPr>
        <w:pStyle w:val="ListParagraph"/>
        <w:numPr>
          <w:ilvl w:val="0"/>
          <w:numId w:val="18"/>
        </w:numPr>
      </w:pPr>
      <w:r>
        <w:t xml:space="preserve">first, </w:t>
      </w:r>
      <w:r w:rsidR="004A568C">
        <w:t>a</w:t>
      </w:r>
      <w:r w:rsidR="00FF0997">
        <w:t xml:space="preserve"> $7.12% pa </w:t>
      </w:r>
      <w:r w:rsidR="004A568C">
        <w:t xml:space="preserve">return and $1,471 NPV </w:t>
      </w:r>
      <w:r w:rsidR="00FF0997">
        <w:t>after income tax</w:t>
      </w:r>
      <w:r w:rsidR="004A568C">
        <w:t xml:space="preserve"> – a better result than the benchmark </w:t>
      </w:r>
      <w:r w:rsidR="006423EA">
        <w:t xml:space="preserve">outcomes </w:t>
      </w:r>
      <w:r w:rsidR="004A568C">
        <w:t xml:space="preserve">only because generous straight-line write-off is applied, rather than economic depreciation (that tracks actual change in asset value </w:t>
      </w:r>
      <w:r w:rsidR="00FF0997">
        <w:t xml:space="preserve">; and, </w:t>
      </w:r>
    </w:p>
    <w:p w14:paraId="07F58152" w14:textId="77777777" w:rsidR="00BF6746" w:rsidRDefault="00865F52" w:rsidP="00936AC8">
      <w:pPr>
        <w:pStyle w:val="ListParagraph"/>
        <w:numPr>
          <w:ilvl w:val="0"/>
          <w:numId w:val="18"/>
        </w:numPr>
      </w:pPr>
      <w:r>
        <w:t xml:space="preserve">then, when the NCT is </w:t>
      </w:r>
      <w:r w:rsidR="006423EA">
        <w:t>added</w:t>
      </w:r>
      <w:r w:rsidR="005D7FEF">
        <w:t>,</w:t>
      </w:r>
      <w:r>
        <w:t xml:space="preserve"> the </w:t>
      </w:r>
      <w:r w:rsidRPr="005D7FEF">
        <w:rPr>
          <w:u w:val="single"/>
        </w:rPr>
        <w:t>after-all tax</w:t>
      </w:r>
      <w:r w:rsidR="005D7FEF" w:rsidRPr="005D7FEF">
        <w:rPr>
          <w:u w:val="single"/>
        </w:rPr>
        <w:t>e</w:t>
      </w:r>
      <w:r w:rsidRPr="005D7FEF">
        <w:rPr>
          <w:u w:val="single"/>
        </w:rPr>
        <w:t>s</w:t>
      </w:r>
      <w:r>
        <w:t xml:space="preserve"> </w:t>
      </w:r>
      <w:r w:rsidR="005D7FEF">
        <w:t>return and NPV are reduced to 6.96% pa and minus $436, respectively. Th</w:t>
      </w:r>
      <w:r w:rsidR="006423EA">
        <w:t>e worsening of outcomes</w:t>
      </w:r>
      <w:r>
        <w:t xml:space="preserve"> </w:t>
      </w:r>
      <w:r w:rsidR="00705337">
        <w:t>reflects</w:t>
      </w:r>
      <w:r w:rsidR="00F8086E">
        <w:t xml:space="preserve"> </w:t>
      </w:r>
      <w:r w:rsidR="00705337">
        <w:t xml:space="preserve">the </w:t>
      </w:r>
      <w:r w:rsidR="00F8086E">
        <w:t>non-neutral</w:t>
      </w:r>
      <w:r w:rsidR="00BF6746">
        <w:t xml:space="preserve"> effect of</w:t>
      </w:r>
      <w:r w:rsidR="003761B5">
        <w:t xml:space="preserve"> income tax ignoring the effect NCT has on pre-tax investment cash flows and value</w:t>
      </w:r>
      <w:r w:rsidR="00BF6746">
        <w:t>.</w:t>
      </w:r>
    </w:p>
    <w:p w14:paraId="07F58153" w14:textId="77777777" w:rsidR="000A2F07" w:rsidRDefault="003761B5" w:rsidP="000A2F07">
      <w:r>
        <w:t xml:space="preserve">In contrast, </w:t>
      </w:r>
      <w:r w:rsidR="00BF6746">
        <w:t xml:space="preserve">Table 2 shows </w:t>
      </w:r>
      <w:r w:rsidR="005D7FEF">
        <w:t xml:space="preserve">changed outcomes when </w:t>
      </w:r>
      <w:r w:rsidR="00BF6746">
        <w:t>income tax</w:t>
      </w:r>
      <w:r>
        <w:t xml:space="preserve"> with</w:t>
      </w:r>
      <w:r w:rsidR="00BF6746">
        <w:t xml:space="preserve"> straight-line depreciation, </w:t>
      </w:r>
      <w:r w:rsidR="00655578">
        <w:t xml:space="preserve">is </w:t>
      </w:r>
      <w:r w:rsidR="00BF6746">
        <w:t xml:space="preserve">applied to pre-tax cash flows net of the up-front NCT </w:t>
      </w:r>
      <w:r w:rsidR="00BB5D24">
        <w:t xml:space="preserve">‘refund’ </w:t>
      </w:r>
      <w:r w:rsidR="00BF6746">
        <w:t xml:space="preserve">and subsequent annual NCT payments. </w:t>
      </w:r>
    </w:p>
    <w:p w14:paraId="07F58154" w14:textId="77777777" w:rsidR="00655578" w:rsidRDefault="00BA2CDE" w:rsidP="00655578">
      <w:pPr>
        <w:spacing w:after="0"/>
        <w:rPr>
          <w:b/>
        </w:rPr>
      </w:pPr>
      <w:r w:rsidRPr="000A7173">
        <w:rPr>
          <w:b/>
        </w:rPr>
        <w:t xml:space="preserve">TABLE </w:t>
      </w:r>
      <w:r>
        <w:rPr>
          <w:b/>
        </w:rPr>
        <w:t>2</w:t>
      </w:r>
    </w:p>
    <w:p w14:paraId="07F58155" w14:textId="77777777" w:rsidR="00BA2CDE" w:rsidRDefault="008C11AC" w:rsidP="00655578">
      <w:pPr>
        <w:spacing w:after="0"/>
      </w:pPr>
      <w:r>
        <w:t xml:space="preserve">Company in interim report’s Table B.7 subject to income tax with </w:t>
      </w:r>
      <w:r w:rsidR="006F352B">
        <w:t>5-year straight-line write-off</w:t>
      </w:r>
      <w:r>
        <w:t xml:space="preserve"> of $500,000 investment and taxable income based on cash flow </w:t>
      </w:r>
      <w:r w:rsidRPr="006F352B">
        <w:rPr>
          <w:u w:val="single"/>
        </w:rPr>
        <w:t>after</w:t>
      </w:r>
      <w:r>
        <w:t xml:space="preserve"> 5% NCT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992"/>
        <w:gridCol w:w="992"/>
        <w:gridCol w:w="992"/>
        <w:gridCol w:w="1134"/>
        <w:gridCol w:w="1134"/>
        <w:gridCol w:w="1134"/>
      </w:tblGrid>
      <w:tr w:rsidR="00BA2CDE" w14:paraId="07F58174" w14:textId="77777777" w:rsidTr="003761B5">
        <w:tc>
          <w:tcPr>
            <w:tcW w:w="817" w:type="dxa"/>
            <w:shd w:val="clear" w:color="auto" w:fill="F2F2F2"/>
            <w:vAlign w:val="center"/>
          </w:tcPr>
          <w:p w14:paraId="07F58156" w14:textId="77777777" w:rsidR="00BA2CDE" w:rsidRPr="003B3046" w:rsidRDefault="00BA2CDE" w:rsidP="00BA2CDE">
            <w:pPr>
              <w:spacing w:after="0"/>
              <w:jc w:val="center"/>
              <w:rPr>
                <w:b/>
              </w:rPr>
            </w:pPr>
            <w:r w:rsidRPr="003B3046">
              <w:rPr>
                <w:b/>
              </w:rPr>
              <w:t>Year</w:t>
            </w:r>
          </w:p>
        </w:tc>
        <w:tc>
          <w:tcPr>
            <w:tcW w:w="992" w:type="dxa"/>
            <w:tcBorders>
              <w:bottom w:val="single" w:sz="4" w:space="0" w:color="auto"/>
            </w:tcBorders>
            <w:shd w:val="clear" w:color="auto" w:fill="F2F2F2"/>
          </w:tcPr>
          <w:p w14:paraId="07F58157" w14:textId="77777777" w:rsidR="00BA2CDE" w:rsidRDefault="00BA2CDE" w:rsidP="00BA2CDE">
            <w:pPr>
              <w:spacing w:after="0"/>
              <w:jc w:val="center"/>
              <w:rPr>
                <w:b/>
              </w:rPr>
            </w:pPr>
            <w:r w:rsidRPr="003B3046">
              <w:rPr>
                <w:b/>
              </w:rPr>
              <w:t>P</w:t>
            </w:r>
            <w:r>
              <w:rPr>
                <w:b/>
              </w:rPr>
              <w:t>re</w:t>
            </w:r>
            <w:r w:rsidRPr="003B3046">
              <w:rPr>
                <w:b/>
              </w:rPr>
              <w:t>-tax cash flow</w:t>
            </w:r>
          </w:p>
          <w:p w14:paraId="07F58158" w14:textId="77777777" w:rsidR="00BA2CDE" w:rsidRDefault="00BA2CDE" w:rsidP="00BA2CDE">
            <w:pPr>
              <w:spacing w:after="0"/>
              <w:jc w:val="center"/>
              <w:rPr>
                <w:b/>
              </w:rPr>
            </w:pPr>
            <w:r w:rsidRPr="003B3046">
              <w:rPr>
                <w:b/>
              </w:rPr>
              <w:t xml:space="preserve"> </w:t>
            </w:r>
          </w:p>
          <w:p w14:paraId="07F58159" w14:textId="77777777" w:rsidR="00BA2CDE" w:rsidRPr="003B3046" w:rsidRDefault="00BA2CDE" w:rsidP="00BA2CDE">
            <w:pPr>
              <w:spacing w:after="0"/>
              <w:jc w:val="center"/>
              <w:rPr>
                <w:b/>
              </w:rPr>
            </w:pPr>
            <w:r>
              <w:rPr>
                <w:b/>
              </w:rPr>
              <w:t xml:space="preserve"> (a)</w:t>
            </w:r>
          </w:p>
          <w:p w14:paraId="07F5815A" w14:textId="77777777" w:rsidR="00BA2CDE" w:rsidRPr="003B3046" w:rsidRDefault="00223F0C" w:rsidP="00BA2CDE">
            <w:pPr>
              <w:spacing w:after="0"/>
              <w:jc w:val="center"/>
              <w:rPr>
                <w:b/>
              </w:rPr>
            </w:pPr>
            <w:r>
              <w:rPr>
                <w:b/>
              </w:rPr>
              <w:t>$</w:t>
            </w:r>
          </w:p>
        </w:tc>
        <w:tc>
          <w:tcPr>
            <w:tcW w:w="993" w:type="dxa"/>
            <w:shd w:val="clear" w:color="auto" w:fill="F2F2F2"/>
          </w:tcPr>
          <w:p w14:paraId="07F5815B" w14:textId="77777777" w:rsidR="00BA2CDE" w:rsidRDefault="008C11AC" w:rsidP="00BA2CDE">
            <w:pPr>
              <w:spacing w:after="0"/>
              <w:jc w:val="center"/>
              <w:rPr>
                <w:b/>
              </w:rPr>
            </w:pPr>
            <w:r>
              <w:rPr>
                <w:b/>
              </w:rPr>
              <w:t>5% NCT refund</w:t>
            </w:r>
            <w:r w:rsidR="00BA2CDE">
              <w:rPr>
                <w:b/>
              </w:rPr>
              <w:t>/tax paymts</w:t>
            </w:r>
          </w:p>
          <w:p w14:paraId="07F5815C" w14:textId="77777777" w:rsidR="00BA2CDE" w:rsidRPr="003B3046" w:rsidRDefault="00BA2CDE" w:rsidP="00BA2CDE">
            <w:pPr>
              <w:spacing w:after="0"/>
              <w:jc w:val="center"/>
              <w:rPr>
                <w:b/>
              </w:rPr>
            </w:pPr>
            <w:r w:rsidRPr="003B3046">
              <w:rPr>
                <w:b/>
              </w:rPr>
              <w:t xml:space="preserve"> </w:t>
            </w:r>
            <w:r>
              <w:rPr>
                <w:b/>
              </w:rPr>
              <w:t>(b)</w:t>
            </w:r>
          </w:p>
          <w:p w14:paraId="07F5815D" w14:textId="77777777" w:rsidR="00BA2CDE" w:rsidRPr="003B3046" w:rsidRDefault="00BA2CDE" w:rsidP="00223F0C">
            <w:pPr>
              <w:spacing w:after="0"/>
              <w:jc w:val="center"/>
              <w:rPr>
                <w:b/>
              </w:rPr>
            </w:pPr>
            <w:r w:rsidRPr="003B3046">
              <w:rPr>
                <w:b/>
              </w:rPr>
              <w:t>$</w:t>
            </w:r>
          </w:p>
        </w:tc>
        <w:tc>
          <w:tcPr>
            <w:tcW w:w="992" w:type="dxa"/>
            <w:tcBorders>
              <w:bottom w:val="single" w:sz="4" w:space="0" w:color="auto"/>
            </w:tcBorders>
            <w:shd w:val="clear" w:color="auto" w:fill="F2F2F2"/>
          </w:tcPr>
          <w:p w14:paraId="07F5815E" w14:textId="77777777" w:rsidR="00BA2CDE" w:rsidRPr="003B3046" w:rsidRDefault="00BA2CDE" w:rsidP="00BA2CDE">
            <w:pPr>
              <w:spacing w:after="0"/>
              <w:jc w:val="center"/>
              <w:rPr>
                <w:b/>
              </w:rPr>
            </w:pPr>
            <w:r>
              <w:rPr>
                <w:b/>
              </w:rPr>
              <w:t xml:space="preserve">Cash flow after </w:t>
            </w:r>
            <w:r w:rsidR="008C11AC">
              <w:rPr>
                <w:b/>
              </w:rPr>
              <w:t>NCT</w:t>
            </w:r>
            <w:r w:rsidRPr="003B3046">
              <w:rPr>
                <w:b/>
              </w:rPr>
              <w:t xml:space="preserve"> </w:t>
            </w:r>
          </w:p>
          <w:p w14:paraId="07F5815F" w14:textId="77777777" w:rsidR="00BA2CDE" w:rsidRPr="003B3046" w:rsidRDefault="00BA2CDE" w:rsidP="00BA2CDE">
            <w:pPr>
              <w:spacing w:after="0"/>
              <w:jc w:val="center"/>
              <w:rPr>
                <w:b/>
              </w:rPr>
            </w:pPr>
            <w:r>
              <w:rPr>
                <w:b/>
              </w:rPr>
              <w:t>(c)</w:t>
            </w:r>
          </w:p>
          <w:p w14:paraId="07F58160" w14:textId="77777777" w:rsidR="00BA2CDE" w:rsidRPr="003B3046" w:rsidRDefault="00BA2CDE" w:rsidP="00223F0C">
            <w:pPr>
              <w:spacing w:after="0"/>
              <w:jc w:val="center"/>
              <w:rPr>
                <w:b/>
              </w:rPr>
            </w:pPr>
            <w:r w:rsidRPr="003B3046">
              <w:rPr>
                <w:b/>
              </w:rPr>
              <w:t>$</w:t>
            </w:r>
          </w:p>
        </w:tc>
        <w:tc>
          <w:tcPr>
            <w:tcW w:w="992" w:type="dxa"/>
            <w:shd w:val="clear" w:color="auto" w:fill="F2F2F2"/>
          </w:tcPr>
          <w:p w14:paraId="07F58161" w14:textId="77777777" w:rsidR="00BA2CDE" w:rsidRPr="003B3046" w:rsidRDefault="00BA2CDE" w:rsidP="00BA2CDE">
            <w:pPr>
              <w:spacing w:after="0"/>
              <w:jc w:val="center"/>
              <w:rPr>
                <w:b/>
              </w:rPr>
            </w:pPr>
            <w:r>
              <w:rPr>
                <w:b/>
              </w:rPr>
              <w:t>Income tax deprec</w:t>
            </w:r>
            <w:r w:rsidR="006F352B">
              <w:rPr>
                <w:b/>
              </w:rPr>
              <w:t>-</w:t>
            </w:r>
            <w:r>
              <w:rPr>
                <w:b/>
              </w:rPr>
              <w:t>iation</w:t>
            </w:r>
          </w:p>
          <w:p w14:paraId="07F58162" w14:textId="77777777" w:rsidR="00BA2CDE" w:rsidRPr="003B3046" w:rsidRDefault="00BA2CDE" w:rsidP="00BA2CDE">
            <w:pPr>
              <w:spacing w:after="0"/>
              <w:jc w:val="center"/>
              <w:rPr>
                <w:b/>
              </w:rPr>
            </w:pPr>
            <w:r>
              <w:rPr>
                <w:b/>
              </w:rPr>
              <w:t>(d)</w:t>
            </w:r>
          </w:p>
          <w:p w14:paraId="07F58163" w14:textId="77777777" w:rsidR="00BA2CDE" w:rsidRPr="003B3046" w:rsidRDefault="00BA2CDE" w:rsidP="00223F0C">
            <w:pPr>
              <w:spacing w:after="0"/>
              <w:jc w:val="center"/>
              <w:rPr>
                <w:b/>
              </w:rPr>
            </w:pPr>
            <w:r w:rsidRPr="003B3046">
              <w:rPr>
                <w:b/>
              </w:rPr>
              <w:t>$</w:t>
            </w:r>
          </w:p>
        </w:tc>
        <w:tc>
          <w:tcPr>
            <w:tcW w:w="992" w:type="dxa"/>
            <w:shd w:val="clear" w:color="auto" w:fill="F2F2F2"/>
          </w:tcPr>
          <w:p w14:paraId="07F58164" w14:textId="77777777" w:rsidR="00BA2CDE" w:rsidRDefault="00BA2CDE" w:rsidP="00BA2CDE">
            <w:pPr>
              <w:spacing w:after="0"/>
              <w:jc w:val="center"/>
              <w:rPr>
                <w:b/>
              </w:rPr>
            </w:pPr>
            <w:r>
              <w:rPr>
                <w:b/>
              </w:rPr>
              <w:t>Taxable income post-</w:t>
            </w:r>
            <w:r w:rsidR="006F352B">
              <w:rPr>
                <w:b/>
              </w:rPr>
              <w:t>NCT</w:t>
            </w:r>
            <w:r w:rsidRPr="003B3046">
              <w:rPr>
                <w:b/>
              </w:rPr>
              <w:t xml:space="preserve"> </w:t>
            </w:r>
          </w:p>
          <w:p w14:paraId="07F58165" w14:textId="77777777" w:rsidR="00BA2CDE" w:rsidRPr="003B3046" w:rsidRDefault="00BA2CDE" w:rsidP="00BA2CDE">
            <w:pPr>
              <w:spacing w:after="0"/>
              <w:jc w:val="center"/>
              <w:rPr>
                <w:b/>
              </w:rPr>
            </w:pPr>
            <w:r>
              <w:rPr>
                <w:b/>
              </w:rPr>
              <w:t xml:space="preserve"> (e)</w:t>
            </w:r>
          </w:p>
          <w:p w14:paraId="07F58166" w14:textId="77777777" w:rsidR="00BA2CDE" w:rsidRPr="003B3046" w:rsidRDefault="00BA2CDE" w:rsidP="00223F0C">
            <w:pPr>
              <w:spacing w:after="0"/>
              <w:jc w:val="center"/>
              <w:rPr>
                <w:b/>
              </w:rPr>
            </w:pPr>
            <w:r w:rsidRPr="003B3046">
              <w:rPr>
                <w:b/>
              </w:rPr>
              <w:t>$</w:t>
            </w:r>
          </w:p>
        </w:tc>
        <w:tc>
          <w:tcPr>
            <w:tcW w:w="1134" w:type="dxa"/>
            <w:shd w:val="clear" w:color="auto" w:fill="F2F2F2"/>
          </w:tcPr>
          <w:p w14:paraId="07F58167" w14:textId="77777777" w:rsidR="00BA2CDE" w:rsidRDefault="00BA2CDE" w:rsidP="00BA2CDE">
            <w:pPr>
              <w:spacing w:after="0"/>
              <w:jc w:val="center"/>
              <w:rPr>
                <w:b/>
              </w:rPr>
            </w:pPr>
            <w:r>
              <w:rPr>
                <w:b/>
              </w:rPr>
              <w:t>Income tax paym</w:t>
            </w:r>
            <w:r w:rsidR="006F352B">
              <w:rPr>
                <w:b/>
              </w:rPr>
              <w:t>ts</w:t>
            </w:r>
          </w:p>
          <w:p w14:paraId="07F58168" w14:textId="77777777" w:rsidR="00BA2CDE" w:rsidRDefault="00BA2CDE" w:rsidP="00BA2CDE">
            <w:pPr>
              <w:spacing w:after="0"/>
              <w:jc w:val="center"/>
              <w:rPr>
                <w:b/>
              </w:rPr>
            </w:pPr>
          </w:p>
          <w:p w14:paraId="07F58169" w14:textId="77777777" w:rsidR="00BA2CDE" w:rsidRDefault="00BA2CDE" w:rsidP="00BA2CDE">
            <w:pPr>
              <w:spacing w:after="0"/>
              <w:jc w:val="center"/>
              <w:rPr>
                <w:b/>
              </w:rPr>
            </w:pPr>
            <w:r>
              <w:rPr>
                <w:b/>
              </w:rPr>
              <w:t>(f)</w:t>
            </w:r>
          </w:p>
          <w:p w14:paraId="07F5816A" w14:textId="77777777" w:rsidR="00BA2CDE" w:rsidRPr="003B3046" w:rsidRDefault="00BA2CDE" w:rsidP="00223F0C">
            <w:pPr>
              <w:spacing w:after="0"/>
              <w:jc w:val="center"/>
              <w:rPr>
                <w:b/>
              </w:rPr>
            </w:pPr>
            <w:r>
              <w:rPr>
                <w:b/>
              </w:rPr>
              <w:t>$</w:t>
            </w:r>
          </w:p>
        </w:tc>
        <w:tc>
          <w:tcPr>
            <w:tcW w:w="1134" w:type="dxa"/>
            <w:tcBorders>
              <w:bottom w:val="single" w:sz="4" w:space="0" w:color="auto"/>
            </w:tcBorders>
            <w:shd w:val="clear" w:color="auto" w:fill="F2F2F2"/>
          </w:tcPr>
          <w:p w14:paraId="07F5816B" w14:textId="77777777" w:rsidR="00BA2CDE" w:rsidRDefault="00BA2CDE" w:rsidP="00BA2CDE">
            <w:pPr>
              <w:spacing w:after="0"/>
              <w:jc w:val="center"/>
              <w:rPr>
                <w:b/>
              </w:rPr>
            </w:pPr>
            <w:r w:rsidRPr="003B3046">
              <w:rPr>
                <w:b/>
              </w:rPr>
              <w:t>P</w:t>
            </w:r>
            <w:r>
              <w:rPr>
                <w:b/>
              </w:rPr>
              <w:t>ost</w:t>
            </w:r>
            <w:r w:rsidRPr="003B3046">
              <w:rPr>
                <w:b/>
              </w:rPr>
              <w:t>-</w:t>
            </w:r>
            <w:r>
              <w:rPr>
                <w:b/>
              </w:rPr>
              <w:t xml:space="preserve">all </w:t>
            </w:r>
            <w:r w:rsidRPr="003B3046">
              <w:rPr>
                <w:b/>
              </w:rPr>
              <w:t>tax</w:t>
            </w:r>
            <w:r>
              <w:rPr>
                <w:b/>
              </w:rPr>
              <w:t>es</w:t>
            </w:r>
            <w:r w:rsidRPr="003B3046">
              <w:rPr>
                <w:b/>
              </w:rPr>
              <w:t xml:space="preserve"> cash flow</w:t>
            </w:r>
          </w:p>
          <w:p w14:paraId="07F5816C" w14:textId="77777777" w:rsidR="00BA2CDE" w:rsidRDefault="00BA2CDE" w:rsidP="00BA2CDE">
            <w:pPr>
              <w:spacing w:after="0"/>
              <w:jc w:val="center"/>
              <w:rPr>
                <w:b/>
              </w:rPr>
            </w:pPr>
          </w:p>
          <w:p w14:paraId="07F5816D" w14:textId="77777777" w:rsidR="00BA2CDE" w:rsidRDefault="00BA2CDE" w:rsidP="00BA2CDE">
            <w:pPr>
              <w:spacing w:after="0"/>
              <w:jc w:val="center"/>
              <w:rPr>
                <w:b/>
              </w:rPr>
            </w:pPr>
            <w:r>
              <w:rPr>
                <w:b/>
              </w:rPr>
              <w:t>(g)</w:t>
            </w:r>
          </w:p>
          <w:p w14:paraId="07F5816E" w14:textId="77777777" w:rsidR="00BA2CDE" w:rsidRPr="003B3046" w:rsidRDefault="00BA2CDE" w:rsidP="00223F0C">
            <w:pPr>
              <w:spacing w:after="0"/>
              <w:jc w:val="center"/>
              <w:rPr>
                <w:b/>
              </w:rPr>
            </w:pPr>
            <w:r>
              <w:rPr>
                <w:b/>
              </w:rPr>
              <w:t>$</w:t>
            </w:r>
          </w:p>
        </w:tc>
        <w:tc>
          <w:tcPr>
            <w:tcW w:w="1134" w:type="dxa"/>
            <w:tcBorders>
              <w:bottom w:val="single" w:sz="4" w:space="0" w:color="auto"/>
            </w:tcBorders>
            <w:shd w:val="clear" w:color="auto" w:fill="F2F2F2"/>
          </w:tcPr>
          <w:p w14:paraId="07F5816F" w14:textId="77777777" w:rsidR="006F352B" w:rsidRDefault="00BA2CDE" w:rsidP="00BA2CDE">
            <w:pPr>
              <w:spacing w:after="0"/>
              <w:jc w:val="center"/>
              <w:rPr>
                <w:b/>
              </w:rPr>
            </w:pPr>
            <w:r>
              <w:rPr>
                <w:b/>
              </w:rPr>
              <w:t>Total tax revenue</w:t>
            </w:r>
          </w:p>
          <w:p w14:paraId="07F58170" w14:textId="77777777" w:rsidR="00223F0C" w:rsidRDefault="00223F0C" w:rsidP="00BA2CDE">
            <w:pPr>
              <w:spacing w:after="0"/>
              <w:jc w:val="center"/>
              <w:rPr>
                <w:b/>
              </w:rPr>
            </w:pPr>
          </w:p>
          <w:p w14:paraId="07F58171" w14:textId="77777777" w:rsidR="00223F0C" w:rsidRDefault="00223F0C" w:rsidP="00BA2CDE">
            <w:pPr>
              <w:spacing w:after="0"/>
              <w:jc w:val="center"/>
              <w:rPr>
                <w:b/>
              </w:rPr>
            </w:pPr>
          </w:p>
          <w:p w14:paraId="07F58172" w14:textId="77777777" w:rsidR="00223F0C" w:rsidRDefault="00223F0C" w:rsidP="00BA2CDE">
            <w:pPr>
              <w:spacing w:after="0"/>
              <w:jc w:val="center"/>
              <w:rPr>
                <w:b/>
              </w:rPr>
            </w:pPr>
            <w:r>
              <w:rPr>
                <w:b/>
              </w:rPr>
              <w:t>(h)</w:t>
            </w:r>
          </w:p>
          <w:p w14:paraId="07F58173" w14:textId="77777777" w:rsidR="00BA2CDE" w:rsidRPr="003B3046" w:rsidRDefault="00223F0C" w:rsidP="00223F0C">
            <w:pPr>
              <w:spacing w:after="0"/>
              <w:jc w:val="center"/>
              <w:rPr>
                <w:b/>
              </w:rPr>
            </w:pPr>
            <w:r>
              <w:rPr>
                <w:b/>
              </w:rPr>
              <w:t>$</w:t>
            </w:r>
            <w:r w:rsidR="00BA2CDE">
              <w:rPr>
                <w:b/>
              </w:rPr>
              <w:t xml:space="preserve"> </w:t>
            </w:r>
          </w:p>
        </w:tc>
      </w:tr>
      <w:tr w:rsidR="00BA2CDE" w14:paraId="07F5817E" w14:textId="77777777" w:rsidTr="003761B5">
        <w:tc>
          <w:tcPr>
            <w:tcW w:w="817" w:type="dxa"/>
          </w:tcPr>
          <w:p w14:paraId="07F58175" w14:textId="77777777" w:rsidR="00BA2CDE" w:rsidRPr="003B3046" w:rsidRDefault="00BA2CDE" w:rsidP="00BA2CDE">
            <w:pPr>
              <w:spacing w:after="0"/>
              <w:jc w:val="center"/>
              <w:rPr>
                <w:b/>
              </w:rPr>
            </w:pPr>
            <w:r w:rsidRPr="003B3046">
              <w:rPr>
                <w:b/>
              </w:rPr>
              <w:t>0</w:t>
            </w:r>
          </w:p>
        </w:tc>
        <w:tc>
          <w:tcPr>
            <w:tcW w:w="992" w:type="dxa"/>
            <w:shd w:val="clear" w:color="auto" w:fill="F2F2F2"/>
            <w:vAlign w:val="bottom"/>
          </w:tcPr>
          <w:p w14:paraId="07F58176" w14:textId="77777777" w:rsidR="00BA2CDE" w:rsidRDefault="00BA2CDE" w:rsidP="00BA2CDE">
            <w:pPr>
              <w:jc w:val="right"/>
              <w:rPr>
                <w:rFonts w:ascii="Calibri" w:hAnsi="Calibri" w:cs="Calibri"/>
                <w:color w:val="000000"/>
              </w:rPr>
            </w:pPr>
            <w:r>
              <w:rPr>
                <w:rFonts w:ascii="Calibri" w:hAnsi="Calibri" w:cs="Calibri"/>
                <w:color w:val="000000"/>
              </w:rPr>
              <w:t>-500000</w:t>
            </w:r>
          </w:p>
        </w:tc>
        <w:tc>
          <w:tcPr>
            <w:tcW w:w="993" w:type="dxa"/>
            <w:vAlign w:val="bottom"/>
          </w:tcPr>
          <w:p w14:paraId="07F58177" w14:textId="77777777" w:rsidR="00BA2CDE" w:rsidRDefault="00BA2CDE" w:rsidP="00BA2CDE">
            <w:pPr>
              <w:jc w:val="right"/>
              <w:rPr>
                <w:rFonts w:ascii="Calibri" w:hAnsi="Calibri" w:cs="Calibri"/>
                <w:color w:val="000000"/>
              </w:rPr>
            </w:pPr>
            <w:r>
              <w:rPr>
                <w:rFonts w:ascii="Calibri" w:hAnsi="Calibri" w:cs="Calibri"/>
                <w:color w:val="000000"/>
              </w:rPr>
              <w:t>-25000</w:t>
            </w:r>
          </w:p>
        </w:tc>
        <w:tc>
          <w:tcPr>
            <w:tcW w:w="992" w:type="dxa"/>
            <w:shd w:val="clear" w:color="auto" w:fill="F2F2F2"/>
            <w:vAlign w:val="bottom"/>
          </w:tcPr>
          <w:p w14:paraId="07F58178" w14:textId="77777777" w:rsidR="00BA2CDE" w:rsidRDefault="00BA2CDE" w:rsidP="00BA2CDE">
            <w:pPr>
              <w:jc w:val="right"/>
              <w:rPr>
                <w:rFonts w:ascii="Calibri" w:hAnsi="Calibri" w:cs="Calibri"/>
                <w:color w:val="000000"/>
              </w:rPr>
            </w:pPr>
            <w:r>
              <w:rPr>
                <w:rFonts w:ascii="Calibri" w:hAnsi="Calibri" w:cs="Calibri"/>
                <w:color w:val="000000"/>
              </w:rPr>
              <w:t>-475000</w:t>
            </w:r>
          </w:p>
        </w:tc>
        <w:tc>
          <w:tcPr>
            <w:tcW w:w="992" w:type="dxa"/>
          </w:tcPr>
          <w:p w14:paraId="07F58179" w14:textId="77777777" w:rsidR="00BA2CDE" w:rsidRDefault="00BA2CDE" w:rsidP="00BA2CDE">
            <w:pPr>
              <w:spacing w:after="0"/>
              <w:jc w:val="center"/>
            </w:pPr>
          </w:p>
        </w:tc>
        <w:tc>
          <w:tcPr>
            <w:tcW w:w="992" w:type="dxa"/>
          </w:tcPr>
          <w:p w14:paraId="07F5817A" w14:textId="77777777" w:rsidR="00BA2CDE" w:rsidRDefault="00BA2CDE" w:rsidP="00BA2CDE">
            <w:pPr>
              <w:spacing w:after="0"/>
              <w:jc w:val="center"/>
            </w:pPr>
          </w:p>
        </w:tc>
        <w:tc>
          <w:tcPr>
            <w:tcW w:w="1134" w:type="dxa"/>
          </w:tcPr>
          <w:p w14:paraId="07F5817B" w14:textId="77777777" w:rsidR="00BA2CDE" w:rsidRDefault="00BA2CDE" w:rsidP="00BA2CDE">
            <w:pPr>
              <w:spacing w:after="0"/>
              <w:jc w:val="center"/>
            </w:pPr>
          </w:p>
        </w:tc>
        <w:tc>
          <w:tcPr>
            <w:tcW w:w="1134" w:type="dxa"/>
            <w:shd w:val="clear" w:color="auto" w:fill="F2F2F2"/>
            <w:vAlign w:val="bottom"/>
          </w:tcPr>
          <w:p w14:paraId="07F5817C" w14:textId="77777777" w:rsidR="00BA2CDE" w:rsidRDefault="00BA2CDE" w:rsidP="00BA2CDE">
            <w:pPr>
              <w:jc w:val="right"/>
              <w:rPr>
                <w:rFonts w:ascii="Calibri" w:hAnsi="Calibri" w:cs="Calibri"/>
                <w:color w:val="000000"/>
              </w:rPr>
            </w:pPr>
            <w:r>
              <w:rPr>
                <w:rFonts w:ascii="Calibri" w:hAnsi="Calibri" w:cs="Calibri"/>
                <w:color w:val="000000"/>
              </w:rPr>
              <w:t>-475000</w:t>
            </w:r>
          </w:p>
        </w:tc>
        <w:tc>
          <w:tcPr>
            <w:tcW w:w="1134" w:type="dxa"/>
            <w:shd w:val="clear" w:color="auto" w:fill="F2F2F2"/>
            <w:vAlign w:val="bottom"/>
          </w:tcPr>
          <w:p w14:paraId="07F5817D" w14:textId="77777777" w:rsidR="00BA2CDE" w:rsidRDefault="00BA2CDE" w:rsidP="00BA2CDE">
            <w:pPr>
              <w:jc w:val="right"/>
              <w:rPr>
                <w:rFonts w:ascii="Calibri" w:hAnsi="Calibri" w:cs="Calibri"/>
                <w:color w:val="000000"/>
              </w:rPr>
            </w:pPr>
            <w:r>
              <w:rPr>
                <w:rFonts w:ascii="Calibri" w:hAnsi="Calibri" w:cs="Calibri"/>
                <w:color w:val="000000"/>
              </w:rPr>
              <w:t>-25000</w:t>
            </w:r>
          </w:p>
        </w:tc>
      </w:tr>
      <w:tr w:rsidR="00BA2CDE" w14:paraId="07F58188" w14:textId="77777777" w:rsidTr="003761B5">
        <w:tc>
          <w:tcPr>
            <w:tcW w:w="817" w:type="dxa"/>
          </w:tcPr>
          <w:p w14:paraId="07F5817F" w14:textId="77777777" w:rsidR="00BA2CDE" w:rsidRPr="003B3046" w:rsidRDefault="00BA2CDE" w:rsidP="00BA2CDE">
            <w:pPr>
              <w:spacing w:after="0"/>
              <w:jc w:val="center"/>
              <w:rPr>
                <w:b/>
              </w:rPr>
            </w:pPr>
            <w:r w:rsidRPr="003B3046">
              <w:rPr>
                <w:b/>
              </w:rPr>
              <w:t>1</w:t>
            </w:r>
          </w:p>
        </w:tc>
        <w:tc>
          <w:tcPr>
            <w:tcW w:w="992" w:type="dxa"/>
            <w:shd w:val="clear" w:color="auto" w:fill="F2F2F2"/>
            <w:vAlign w:val="bottom"/>
          </w:tcPr>
          <w:p w14:paraId="07F58180" w14:textId="77777777" w:rsidR="00BA2CDE" w:rsidRDefault="00BA2CDE" w:rsidP="00BA2CDE">
            <w:pPr>
              <w:jc w:val="right"/>
              <w:rPr>
                <w:rFonts w:ascii="Calibri" w:hAnsi="Calibri" w:cs="Calibri"/>
                <w:color w:val="000000"/>
              </w:rPr>
            </w:pPr>
            <w:r>
              <w:rPr>
                <w:rFonts w:ascii="Calibri" w:hAnsi="Calibri" w:cs="Calibri"/>
                <w:color w:val="000000"/>
              </w:rPr>
              <w:t>131899</w:t>
            </w:r>
          </w:p>
        </w:tc>
        <w:tc>
          <w:tcPr>
            <w:tcW w:w="993" w:type="dxa"/>
            <w:vAlign w:val="bottom"/>
          </w:tcPr>
          <w:p w14:paraId="07F58181" w14:textId="77777777" w:rsidR="00BA2CDE" w:rsidRDefault="00BA2CDE" w:rsidP="00BA2CDE">
            <w:pPr>
              <w:jc w:val="right"/>
              <w:rPr>
                <w:rFonts w:ascii="Calibri" w:hAnsi="Calibri" w:cs="Calibri"/>
                <w:color w:val="000000"/>
              </w:rPr>
            </w:pPr>
            <w:r>
              <w:rPr>
                <w:rFonts w:ascii="Calibri" w:hAnsi="Calibri" w:cs="Calibri"/>
                <w:color w:val="000000"/>
              </w:rPr>
              <w:t>6595</w:t>
            </w:r>
          </w:p>
        </w:tc>
        <w:tc>
          <w:tcPr>
            <w:tcW w:w="992" w:type="dxa"/>
            <w:shd w:val="clear" w:color="auto" w:fill="F2F2F2"/>
            <w:vAlign w:val="bottom"/>
          </w:tcPr>
          <w:p w14:paraId="07F58182" w14:textId="77777777" w:rsidR="00BA2CDE" w:rsidRDefault="00BA2CDE" w:rsidP="00BA2CDE">
            <w:pPr>
              <w:jc w:val="right"/>
              <w:rPr>
                <w:rFonts w:ascii="Calibri" w:hAnsi="Calibri" w:cs="Calibri"/>
                <w:color w:val="000000"/>
              </w:rPr>
            </w:pPr>
            <w:r>
              <w:rPr>
                <w:rFonts w:ascii="Calibri" w:hAnsi="Calibri" w:cs="Calibri"/>
                <w:color w:val="000000"/>
              </w:rPr>
              <w:t>125304</w:t>
            </w:r>
          </w:p>
        </w:tc>
        <w:tc>
          <w:tcPr>
            <w:tcW w:w="992" w:type="dxa"/>
            <w:vAlign w:val="bottom"/>
          </w:tcPr>
          <w:p w14:paraId="07F58183" w14:textId="77777777" w:rsidR="00BA2CDE" w:rsidRDefault="00BA2CDE" w:rsidP="00BA2CDE">
            <w:pPr>
              <w:jc w:val="right"/>
              <w:rPr>
                <w:rFonts w:ascii="Calibri" w:hAnsi="Calibri" w:cs="Calibri"/>
                <w:color w:val="000000"/>
              </w:rPr>
            </w:pPr>
            <w:r>
              <w:rPr>
                <w:rFonts w:ascii="Calibri" w:hAnsi="Calibri" w:cs="Calibri"/>
                <w:color w:val="000000"/>
              </w:rPr>
              <w:t>-95000</w:t>
            </w:r>
          </w:p>
        </w:tc>
        <w:tc>
          <w:tcPr>
            <w:tcW w:w="992" w:type="dxa"/>
            <w:vAlign w:val="bottom"/>
          </w:tcPr>
          <w:p w14:paraId="07F58184" w14:textId="77777777" w:rsidR="00BA2CDE" w:rsidRDefault="00BA2CDE" w:rsidP="00BA2CDE">
            <w:pPr>
              <w:jc w:val="right"/>
              <w:rPr>
                <w:rFonts w:ascii="Calibri" w:hAnsi="Calibri" w:cs="Calibri"/>
                <w:color w:val="000000"/>
              </w:rPr>
            </w:pPr>
            <w:r>
              <w:rPr>
                <w:rFonts w:ascii="Calibri" w:hAnsi="Calibri" w:cs="Calibri"/>
                <w:color w:val="000000"/>
              </w:rPr>
              <w:t>30304</w:t>
            </w:r>
          </w:p>
        </w:tc>
        <w:tc>
          <w:tcPr>
            <w:tcW w:w="1134" w:type="dxa"/>
            <w:vAlign w:val="bottom"/>
          </w:tcPr>
          <w:p w14:paraId="07F58185" w14:textId="77777777" w:rsidR="00BA2CDE" w:rsidRDefault="00BA2CDE" w:rsidP="00BA2CDE">
            <w:pPr>
              <w:jc w:val="right"/>
              <w:rPr>
                <w:rFonts w:ascii="Calibri" w:hAnsi="Calibri" w:cs="Calibri"/>
                <w:color w:val="000000"/>
              </w:rPr>
            </w:pPr>
            <w:r>
              <w:rPr>
                <w:rFonts w:ascii="Calibri" w:hAnsi="Calibri" w:cs="Calibri"/>
                <w:color w:val="000000"/>
              </w:rPr>
              <w:t>9091</w:t>
            </w:r>
          </w:p>
        </w:tc>
        <w:tc>
          <w:tcPr>
            <w:tcW w:w="1134" w:type="dxa"/>
            <w:shd w:val="clear" w:color="auto" w:fill="F2F2F2"/>
            <w:vAlign w:val="bottom"/>
          </w:tcPr>
          <w:p w14:paraId="07F58186" w14:textId="77777777" w:rsidR="00BA2CDE" w:rsidRDefault="00BA2CDE" w:rsidP="00BA2CDE">
            <w:pPr>
              <w:jc w:val="right"/>
              <w:rPr>
                <w:rFonts w:ascii="Calibri" w:hAnsi="Calibri" w:cs="Calibri"/>
                <w:color w:val="000000"/>
              </w:rPr>
            </w:pPr>
            <w:r>
              <w:rPr>
                <w:rFonts w:ascii="Calibri" w:hAnsi="Calibri" w:cs="Calibri"/>
                <w:color w:val="000000"/>
              </w:rPr>
              <w:t>116213</w:t>
            </w:r>
          </w:p>
        </w:tc>
        <w:tc>
          <w:tcPr>
            <w:tcW w:w="1134" w:type="dxa"/>
            <w:shd w:val="clear" w:color="auto" w:fill="F2F2F2"/>
            <w:vAlign w:val="bottom"/>
          </w:tcPr>
          <w:p w14:paraId="07F58187" w14:textId="77777777" w:rsidR="00BA2CDE" w:rsidRDefault="00BA2CDE" w:rsidP="00BA2CDE">
            <w:pPr>
              <w:jc w:val="right"/>
              <w:rPr>
                <w:rFonts w:ascii="Calibri" w:hAnsi="Calibri" w:cs="Calibri"/>
                <w:color w:val="000000"/>
              </w:rPr>
            </w:pPr>
            <w:r>
              <w:rPr>
                <w:rFonts w:ascii="Calibri" w:hAnsi="Calibri" w:cs="Calibri"/>
                <w:color w:val="000000"/>
              </w:rPr>
              <w:t>15686</w:t>
            </w:r>
          </w:p>
        </w:tc>
      </w:tr>
      <w:tr w:rsidR="00BA2CDE" w14:paraId="07F58192" w14:textId="77777777" w:rsidTr="003761B5">
        <w:tc>
          <w:tcPr>
            <w:tcW w:w="817" w:type="dxa"/>
          </w:tcPr>
          <w:p w14:paraId="07F58189" w14:textId="77777777" w:rsidR="00BA2CDE" w:rsidRPr="003B3046" w:rsidRDefault="00BA2CDE" w:rsidP="00BA2CDE">
            <w:pPr>
              <w:spacing w:after="0"/>
              <w:jc w:val="center"/>
              <w:rPr>
                <w:b/>
              </w:rPr>
            </w:pPr>
            <w:r>
              <w:rPr>
                <w:b/>
              </w:rPr>
              <w:t>2</w:t>
            </w:r>
          </w:p>
        </w:tc>
        <w:tc>
          <w:tcPr>
            <w:tcW w:w="992" w:type="dxa"/>
            <w:shd w:val="clear" w:color="auto" w:fill="F2F2F2"/>
            <w:vAlign w:val="bottom"/>
          </w:tcPr>
          <w:p w14:paraId="07F5818A" w14:textId="77777777" w:rsidR="00BA2CDE" w:rsidRDefault="00BA2CDE" w:rsidP="00BA2CDE">
            <w:pPr>
              <w:jc w:val="right"/>
              <w:rPr>
                <w:rFonts w:ascii="Calibri" w:hAnsi="Calibri" w:cs="Calibri"/>
                <w:color w:val="000000"/>
              </w:rPr>
            </w:pPr>
            <w:r>
              <w:rPr>
                <w:rFonts w:ascii="Calibri" w:hAnsi="Calibri" w:cs="Calibri"/>
                <w:color w:val="000000"/>
              </w:rPr>
              <w:t>131899</w:t>
            </w:r>
          </w:p>
        </w:tc>
        <w:tc>
          <w:tcPr>
            <w:tcW w:w="993" w:type="dxa"/>
            <w:vAlign w:val="bottom"/>
          </w:tcPr>
          <w:p w14:paraId="07F5818B" w14:textId="77777777" w:rsidR="00BA2CDE" w:rsidRDefault="00BA2CDE" w:rsidP="00BA2CDE">
            <w:pPr>
              <w:jc w:val="right"/>
              <w:rPr>
                <w:rFonts w:ascii="Calibri" w:hAnsi="Calibri" w:cs="Calibri"/>
                <w:color w:val="000000"/>
              </w:rPr>
            </w:pPr>
            <w:r>
              <w:rPr>
                <w:rFonts w:ascii="Calibri" w:hAnsi="Calibri" w:cs="Calibri"/>
                <w:color w:val="000000"/>
              </w:rPr>
              <w:t>6595</w:t>
            </w:r>
          </w:p>
        </w:tc>
        <w:tc>
          <w:tcPr>
            <w:tcW w:w="992" w:type="dxa"/>
            <w:shd w:val="clear" w:color="auto" w:fill="F2F2F2"/>
            <w:vAlign w:val="bottom"/>
          </w:tcPr>
          <w:p w14:paraId="07F5818C" w14:textId="77777777" w:rsidR="00BA2CDE" w:rsidRDefault="00BA2CDE" w:rsidP="00BA2CDE">
            <w:pPr>
              <w:jc w:val="right"/>
              <w:rPr>
                <w:rFonts w:ascii="Calibri" w:hAnsi="Calibri" w:cs="Calibri"/>
                <w:color w:val="000000"/>
              </w:rPr>
            </w:pPr>
            <w:r>
              <w:rPr>
                <w:rFonts w:ascii="Calibri" w:hAnsi="Calibri" w:cs="Calibri"/>
                <w:color w:val="000000"/>
              </w:rPr>
              <w:t>125304</w:t>
            </w:r>
          </w:p>
        </w:tc>
        <w:tc>
          <w:tcPr>
            <w:tcW w:w="992" w:type="dxa"/>
            <w:vAlign w:val="bottom"/>
          </w:tcPr>
          <w:p w14:paraId="07F5818D" w14:textId="77777777" w:rsidR="00BA2CDE" w:rsidRDefault="00BA2CDE" w:rsidP="00BA2CDE">
            <w:pPr>
              <w:jc w:val="right"/>
              <w:rPr>
                <w:rFonts w:ascii="Calibri" w:hAnsi="Calibri" w:cs="Calibri"/>
                <w:color w:val="000000"/>
              </w:rPr>
            </w:pPr>
            <w:r>
              <w:rPr>
                <w:rFonts w:ascii="Calibri" w:hAnsi="Calibri" w:cs="Calibri"/>
                <w:color w:val="000000"/>
              </w:rPr>
              <w:t>-95000</w:t>
            </w:r>
          </w:p>
        </w:tc>
        <w:tc>
          <w:tcPr>
            <w:tcW w:w="992" w:type="dxa"/>
            <w:vAlign w:val="bottom"/>
          </w:tcPr>
          <w:p w14:paraId="07F5818E" w14:textId="77777777" w:rsidR="00BA2CDE" w:rsidRDefault="00BA2CDE" w:rsidP="00BA2CDE">
            <w:pPr>
              <w:jc w:val="right"/>
              <w:rPr>
                <w:rFonts w:ascii="Calibri" w:hAnsi="Calibri" w:cs="Calibri"/>
                <w:color w:val="000000"/>
              </w:rPr>
            </w:pPr>
            <w:r>
              <w:rPr>
                <w:rFonts w:ascii="Calibri" w:hAnsi="Calibri" w:cs="Calibri"/>
                <w:color w:val="000000"/>
              </w:rPr>
              <w:t>30304</w:t>
            </w:r>
          </w:p>
        </w:tc>
        <w:tc>
          <w:tcPr>
            <w:tcW w:w="1134" w:type="dxa"/>
            <w:vAlign w:val="bottom"/>
          </w:tcPr>
          <w:p w14:paraId="07F5818F" w14:textId="77777777" w:rsidR="00BA2CDE" w:rsidRDefault="00BA2CDE" w:rsidP="00BA2CDE">
            <w:pPr>
              <w:jc w:val="right"/>
              <w:rPr>
                <w:rFonts w:ascii="Calibri" w:hAnsi="Calibri" w:cs="Calibri"/>
                <w:color w:val="000000"/>
              </w:rPr>
            </w:pPr>
            <w:r>
              <w:rPr>
                <w:rFonts w:ascii="Calibri" w:hAnsi="Calibri" w:cs="Calibri"/>
                <w:color w:val="000000"/>
              </w:rPr>
              <w:t>9091</w:t>
            </w:r>
          </w:p>
        </w:tc>
        <w:tc>
          <w:tcPr>
            <w:tcW w:w="1134" w:type="dxa"/>
            <w:shd w:val="clear" w:color="auto" w:fill="F2F2F2"/>
            <w:vAlign w:val="bottom"/>
          </w:tcPr>
          <w:p w14:paraId="07F58190" w14:textId="77777777" w:rsidR="00BA2CDE" w:rsidRDefault="00BA2CDE" w:rsidP="00BA2CDE">
            <w:pPr>
              <w:jc w:val="right"/>
              <w:rPr>
                <w:rFonts w:ascii="Calibri" w:hAnsi="Calibri" w:cs="Calibri"/>
                <w:color w:val="000000"/>
              </w:rPr>
            </w:pPr>
            <w:r>
              <w:rPr>
                <w:rFonts w:ascii="Calibri" w:hAnsi="Calibri" w:cs="Calibri"/>
                <w:color w:val="000000"/>
              </w:rPr>
              <w:t>116213</w:t>
            </w:r>
          </w:p>
        </w:tc>
        <w:tc>
          <w:tcPr>
            <w:tcW w:w="1134" w:type="dxa"/>
            <w:shd w:val="clear" w:color="auto" w:fill="F2F2F2"/>
            <w:vAlign w:val="bottom"/>
          </w:tcPr>
          <w:p w14:paraId="07F58191" w14:textId="77777777" w:rsidR="00BA2CDE" w:rsidRDefault="00BA2CDE" w:rsidP="00BA2CDE">
            <w:pPr>
              <w:jc w:val="right"/>
              <w:rPr>
                <w:rFonts w:ascii="Calibri" w:hAnsi="Calibri" w:cs="Calibri"/>
                <w:color w:val="000000"/>
              </w:rPr>
            </w:pPr>
            <w:r>
              <w:rPr>
                <w:rFonts w:ascii="Calibri" w:hAnsi="Calibri" w:cs="Calibri"/>
                <w:color w:val="000000"/>
              </w:rPr>
              <w:t>15686</w:t>
            </w:r>
          </w:p>
        </w:tc>
      </w:tr>
      <w:tr w:rsidR="00BA2CDE" w14:paraId="07F5819C" w14:textId="77777777" w:rsidTr="003761B5">
        <w:tc>
          <w:tcPr>
            <w:tcW w:w="817" w:type="dxa"/>
          </w:tcPr>
          <w:p w14:paraId="07F58193" w14:textId="77777777" w:rsidR="00BA2CDE" w:rsidRPr="003B3046" w:rsidRDefault="00BA2CDE" w:rsidP="00BA2CDE">
            <w:pPr>
              <w:spacing w:after="0"/>
              <w:jc w:val="center"/>
              <w:rPr>
                <w:b/>
              </w:rPr>
            </w:pPr>
            <w:r w:rsidRPr="003B3046">
              <w:rPr>
                <w:b/>
              </w:rPr>
              <w:t>3</w:t>
            </w:r>
          </w:p>
        </w:tc>
        <w:tc>
          <w:tcPr>
            <w:tcW w:w="992" w:type="dxa"/>
            <w:shd w:val="clear" w:color="auto" w:fill="F2F2F2"/>
            <w:vAlign w:val="bottom"/>
          </w:tcPr>
          <w:p w14:paraId="07F58194" w14:textId="77777777" w:rsidR="00BA2CDE" w:rsidRDefault="00BA2CDE" w:rsidP="00BA2CDE">
            <w:pPr>
              <w:jc w:val="right"/>
              <w:rPr>
                <w:rFonts w:ascii="Calibri" w:hAnsi="Calibri" w:cs="Calibri"/>
                <w:color w:val="000000"/>
              </w:rPr>
            </w:pPr>
            <w:r>
              <w:rPr>
                <w:rFonts w:ascii="Calibri" w:hAnsi="Calibri" w:cs="Calibri"/>
                <w:color w:val="000000"/>
              </w:rPr>
              <w:t>131899</w:t>
            </w:r>
          </w:p>
        </w:tc>
        <w:tc>
          <w:tcPr>
            <w:tcW w:w="993" w:type="dxa"/>
            <w:vAlign w:val="bottom"/>
          </w:tcPr>
          <w:p w14:paraId="07F58195" w14:textId="77777777" w:rsidR="00BA2CDE" w:rsidRDefault="00BA2CDE" w:rsidP="00BA2CDE">
            <w:pPr>
              <w:jc w:val="right"/>
              <w:rPr>
                <w:rFonts w:ascii="Calibri" w:hAnsi="Calibri" w:cs="Calibri"/>
                <w:color w:val="000000"/>
              </w:rPr>
            </w:pPr>
            <w:r>
              <w:rPr>
                <w:rFonts w:ascii="Calibri" w:hAnsi="Calibri" w:cs="Calibri"/>
                <w:color w:val="000000"/>
              </w:rPr>
              <w:t>6595</w:t>
            </w:r>
          </w:p>
        </w:tc>
        <w:tc>
          <w:tcPr>
            <w:tcW w:w="992" w:type="dxa"/>
            <w:shd w:val="clear" w:color="auto" w:fill="F2F2F2"/>
            <w:vAlign w:val="bottom"/>
          </w:tcPr>
          <w:p w14:paraId="07F58196" w14:textId="77777777" w:rsidR="00BA2CDE" w:rsidRDefault="00BA2CDE" w:rsidP="00BA2CDE">
            <w:pPr>
              <w:jc w:val="right"/>
              <w:rPr>
                <w:rFonts w:ascii="Calibri" w:hAnsi="Calibri" w:cs="Calibri"/>
                <w:color w:val="000000"/>
              </w:rPr>
            </w:pPr>
            <w:r>
              <w:rPr>
                <w:rFonts w:ascii="Calibri" w:hAnsi="Calibri" w:cs="Calibri"/>
                <w:color w:val="000000"/>
              </w:rPr>
              <w:t>125304</w:t>
            </w:r>
          </w:p>
        </w:tc>
        <w:tc>
          <w:tcPr>
            <w:tcW w:w="992" w:type="dxa"/>
            <w:vAlign w:val="bottom"/>
          </w:tcPr>
          <w:p w14:paraId="07F58197" w14:textId="77777777" w:rsidR="00BA2CDE" w:rsidRDefault="00BA2CDE" w:rsidP="00BA2CDE">
            <w:pPr>
              <w:jc w:val="right"/>
              <w:rPr>
                <w:rFonts w:ascii="Calibri" w:hAnsi="Calibri" w:cs="Calibri"/>
                <w:color w:val="000000"/>
              </w:rPr>
            </w:pPr>
            <w:r>
              <w:rPr>
                <w:rFonts w:ascii="Calibri" w:hAnsi="Calibri" w:cs="Calibri"/>
                <w:color w:val="000000"/>
              </w:rPr>
              <w:t>-95000</w:t>
            </w:r>
          </w:p>
        </w:tc>
        <w:tc>
          <w:tcPr>
            <w:tcW w:w="992" w:type="dxa"/>
            <w:vAlign w:val="bottom"/>
          </w:tcPr>
          <w:p w14:paraId="07F58198" w14:textId="77777777" w:rsidR="00BA2CDE" w:rsidRDefault="00BA2CDE" w:rsidP="00BA2CDE">
            <w:pPr>
              <w:jc w:val="right"/>
              <w:rPr>
                <w:rFonts w:ascii="Calibri" w:hAnsi="Calibri" w:cs="Calibri"/>
                <w:color w:val="000000"/>
              </w:rPr>
            </w:pPr>
            <w:r>
              <w:rPr>
                <w:rFonts w:ascii="Calibri" w:hAnsi="Calibri" w:cs="Calibri"/>
                <w:color w:val="000000"/>
              </w:rPr>
              <w:t>30304</w:t>
            </w:r>
          </w:p>
        </w:tc>
        <w:tc>
          <w:tcPr>
            <w:tcW w:w="1134" w:type="dxa"/>
            <w:vAlign w:val="bottom"/>
          </w:tcPr>
          <w:p w14:paraId="07F58199" w14:textId="77777777" w:rsidR="00BA2CDE" w:rsidRDefault="00BA2CDE" w:rsidP="00BA2CDE">
            <w:pPr>
              <w:jc w:val="right"/>
              <w:rPr>
                <w:rFonts w:ascii="Calibri" w:hAnsi="Calibri" w:cs="Calibri"/>
                <w:color w:val="000000"/>
              </w:rPr>
            </w:pPr>
            <w:r>
              <w:rPr>
                <w:rFonts w:ascii="Calibri" w:hAnsi="Calibri" w:cs="Calibri"/>
                <w:color w:val="000000"/>
              </w:rPr>
              <w:t>9091</w:t>
            </w:r>
          </w:p>
        </w:tc>
        <w:tc>
          <w:tcPr>
            <w:tcW w:w="1134" w:type="dxa"/>
            <w:shd w:val="clear" w:color="auto" w:fill="F2F2F2"/>
            <w:vAlign w:val="bottom"/>
          </w:tcPr>
          <w:p w14:paraId="07F5819A" w14:textId="77777777" w:rsidR="00BA2CDE" w:rsidRDefault="00BA2CDE" w:rsidP="00BA2CDE">
            <w:pPr>
              <w:jc w:val="right"/>
              <w:rPr>
                <w:rFonts w:ascii="Calibri" w:hAnsi="Calibri" w:cs="Calibri"/>
                <w:color w:val="000000"/>
              </w:rPr>
            </w:pPr>
            <w:r>
              <w:rPr>
                <w:rFonts w:ascii="Calibri" w:hAnsi="Calibri" w:cs="Calibri"/>
                <w:color w:val="000000"/>
              </w:rPr>
              <w:t>116213</w:t>
            </w:r>
          </w:p>
        </w:tc>
        <w:tc>
          <w:tcPr>
            <w:tcW w:w="1134" w:type="dxa"/>
            <w:shd w:val="clear" w:color="auto" w:fill="F2F2F2"/>
            <w:vAlign w:val="bottom"/>
          </w:tcPr>
          <w:p w14:paraId="07F5819B" w14:textId="77777777" w:rsidR="00BA2CDE" w:rsidRDefault="00BA2CDE" w:rsidP="00BA2CDE">
            <w:pPr>
              <w:jc w:val="right"/>
              <w:rPr>
                <w:rFonts w:ascii="Calibri" w:hAnsi="Calibri" w:cs="Calibri"/>
                <w:color w:val="000000"/>
              </w:rPr>
            </w:pPr>
            <w:r>
              <w:rPr>
                <w:rFonts w:ascii="Calibri" w:hAnsi="Calibri" w:cs="Calibri"/>
                <w:color w:val="000000"/>
              </w:rPr>
              <w:t>15686</w:t>
            </w:r>
          </w:p>
        </w:tc>
      </w:tr>
      <w:tr w:rsidR="00BA2CDE" w14:paraId="07F581A6" w14:textId="77777777" w:rsidTr="003761B5">
        <w:tc>
          <w:tcPr>
            <w:tcW w:w="817" w:type="dxa"/>
          </w:tcPr>
          <w:p w14:paraId="07F5819D" w14:textId="77777777" w:rsidR="00BA2CDE" w:rsidRPr="003B3046" w:rsidRDefault="00BA2CDE" w:rsidP="00BA2CDE">
            <w:pPr>
              <w:spacing w:after="0"/>
              <w:jc w:val="center"/>
              <w:rPr>
                <w:b/>
              </w:rPr>
            </w:pPr>
            <w:r w:rsidRPr="003B3046">
              <w:rPr>
                <w:b/>
              </w:rPr>
              <w:t>4</w:t>
            </w:r>
          </w:p>
        </w:tc>
        <w:tc>
          <w:tcPr>
            <w:tcW w:w="992" w:type="dxa"/>
            <w:shd w:val="clear" w:color="auto" w:fill="F2F2F2"/>
            <w:vAlign w:val="bottom"/>
          </w:tcPr>
          <w:p w14:paraId="07F5819E" w14:textId="77777777" w:rsidR="00BA2CDE" w:rsidRDefault="00BA2CDE" w:rsidP="00BA2CDE">
            <w:pPr>
              <w:jc w:val="right"/>
              <w:rPr>
                <w:rFonts w:ascii="Calibri" w:hAnsi="Calibri" w:cs="Calibri"/>
                <w:color w:val="000000"/>
              </w:rPr>
            </w:pPr>
            <w:r>
              <w:rPr>
                <w:rFonts w:ascii="Calibri" w:hAnsi="Calibri" w:cs="Calibri"/>
                <w:color w:val="000000"/>
              </w:rPr>
              <w:t>131899</w:t>
            </w:r>
          </w:p>
        </w:tc>
        <w:tc>
          <w:tcPr>
            <w:tcW w:w="993" w:type="dxa"/>
            <w:vAlign w:val="bottom"/>
          </w:tcPr>
          <w:p w14:paraId="07F5819F" w14:textId="77777777" w:rsidR="00BA2CDE" w:rsidRDefault="00BA2CDE" w:rsidP="00BA2CDE">
            <w:pPr>
              <w:jc w:val="right"/>
              <w:rPr>
                <w:rFonts w:ascii="Calibri" w:hAnsi="Calibri" w:cs="Calibri"/>
                <w:color w:val="000000"/>
              </w:rPr>
            </w:pPr>
            <w:r>
              <w:rPr>
                <w:rFonts w:ascii="Calibri" w:hAnsi="Calibri" w:cs="Calibri"/>
                <w:color w:val="000000"/>
              </w:rPr>
              <w:t>6595</w:t>
            </w:r>
          </w:p>
        </w:tc>
        <w:tc>
          <w:tcPr>
            <w:tcW w:w="992" w:type="dxa"/>
            <w:shd w:val="clear" w:color="auto" w:fill="F2F2F2"/>
            <w:vAlign w:val="bottom"/>
          </w:tcPr>
          <w:p w14:paraId="07F581A0" w14:textId="77777777" w:rsidR="00BA2CDE" w:rsidRDefault="00BA2CDE" w:rsidP="00BA2CDE">
            <w:pPr>
              <w:jc w:val="right"/>
              <w:rPr>
                <w:rFonts w:ascii="Calibri" w:hAnsi="Calibri" w:cs="Calibri"/>
                <w:color w:val="000000"/>
              </w:rPr>
            </w:pPr>
            <w:r>
              <w:rPr>
                <w:rFonts w:ascii="Calibri" w:hAnsi="Calibri" w:cs="Calibri"/>
                <w:color w:val="000000"/>
              </w:rPr>
              <w:t>125304</w:t>
            </w:r>
          </w:p>
        </w:tc>
        <w:tc>
          <w:tcPr>
            <w:tcW w:w="992" w:type="dxa"/>
            <w:vAlign w:val="bottom"/>
          </w:tcPr>
          <w:p w14:paraId="07F581A1" w14:textId="77777777" w:rsidR="00BA2CDE" w:rsidRDefault="00BA2CDE" w:rsidP="00BA2CDE">
            <w:pPr>
              <w:jc w:val="right"/>
              <w:rPr>
                <w:rFonts w:ascii="Calibri" w:hAnsi="Calibri" w:cs="Calibri"/>
                <w:color w:val="000000"/>
              </w:rPr>
            </w:pPr>
            <w:r>
              <w:rPr>
                <w:rFonts w:ascii="Calibri" w:hAnsi="Calibri" w:cs="Calibri"/>
                <w:color w:val="000000"/>
              </w:rPr>
              <w:t>-95000</w:t>
            </w:r>
          </w:p>
        </w:tc>
        <w:tc>
          <w:tcPr>
            <w:tcW w:w="992" w:type="dxa"/>
            <w:vAlign w:val="bottom"/>
          </w:tcPr>
          <w:p w14:paraId="07F581A2" w14:textId="77777777" w:rsidR="00BA2CDE" w:rsidRDefault="00BA2CDE" w:rsidP="00BA2CDE">
            <w:pPr>
              <w:jc w:val="right"/>
              <w:rPr>
                <w:rFonts w:ascii="Calibri" w:hAnsi="Calibri" w:cs="Calibri"/>
                <w:color w:val="000000"/>
              </w:rPr>
            </w:pPr>
            <w:r>
              <w:rPr>
                <w:rFonts w:ascii="Calibri" w:hAnsi="Calibri" w:cs="Calibri"/>
                <w:color w:val="000000"/>
              </w:rPr>
              <w:t>30304</w:t>
            </w:r>
          </w:p>
        </w:tc>
        <w:tc>
          <w:tcPr>
            <w:tcW w:w="1134" w:type="dxa"/>
            <w:vAlign w:val="bottom"/>
          </w:tcPr>
          <w:p w14:paraId="07F581A3" w14:textId="77777777" w:rsidR="00BA2CDE" w:rsidRDefault="00BA2CDE" w:rsidP="00BA2CDE">
            <w:pPr>
              <w:jc w:val="right"/>
              <w:rPr>
                <w:rFonts w:ascii="Calibri" w:hAnsi="Calibri" w:cs="Calibri"/>
                <w:color w:val="000000"/>
              </w:rPr>
            </w:pPr>
            <w:r>
              <w:rPr>
                <w:rFonts w:ascii="Calibri" w:hAnsi="Calibri" w:cs="Calibri"/>
                <w:color w:val="000000"/>
              </w:rPr>
              <w:t>9091</w:t>
            </w:r>
          </w:p>
        </w:tc>
        <w:tc>
          <w:tcPr>
            <w:tcW w:w="1134" w:type="dxa"/>
            <w:shd w:val="clear" w:color="auto" w:fill="F2F2F2"/>
            <w:vAlign w:val="bottom"/>
          </w:tcPr>
          <w:p w14:paraId="07F581A4" w14:textId="77777777" w:rsidR="00BA2CDE" w:rsidRDefault="00BA2CDE" w:rsidP="00BA2CDE">
            <w:pPr>
              <w:jc w:val="right"/>
              <w:rPr>
                <w:rFonts w:ascii="Calibri" w:hAnsi="Calibri" w:cs="Calibri"/>
                <w:color w:val="000000"/>
              </w:rPr>
            </w:pPr>
            <w:r>
              <w:rPr>
                <w:rFonts w:ascii="Calibri" w:hAnsi="Calibri" w:cs="Calibri"/>
                <w:color w:val="000000"/>
              </w:rPr>
              <w:t>116213</w:t>
            </w:r>
          </w:p>
        </w:tc>
        <w:tc>
          <w:tcPr>
            <w:tcW w:w="1134" w:type="dxa"/>
            <w:shd w:val="clear" w:color="auto" w:fill="F2F2F2"/>
            <w:vAlign w:val="bottom"/>
          </w:tcPr>
          <w:p w14:paraId="07F581A5" w14:textId="77777777" w:rsidR="00BA2CDE" w:rsidRDefault="00BA2CDE" w:rsidP="00BA2CDE">
            <w:pPr>
              <w:jc w:val="right"/>
              <w:rPr>
                <w:rFonts w:ascii="Calibri" w:hAnsi="Calibri" w:cs="Calibri"/>
                <w:color w:val="000000"/>
              </w:rPr>
            </w:pPr>
            <w:r>
              <w:rPr>
                <w:rFonts w:ascii="Calibri" w:hAnsi="Calibri" w:cs="Calibri"/>
                <w:color w:val="000000"/>
              </w:rPr>
              <w:t>15686</w:t>
            </w:r>
          </w:p>
        </w:tc>
      </w:tr>
      <w:tr w:rsidR="00BA2CDE" w14:paraId="07F581B0" w14:textId="77777777" w:rsidTr="003761B5">
        <w:tc>
          <w:tcPr>
            <w:tcW w:w="817" w:type="dxa"/>
            <w:tcBorders>
              <w:bottom w:val="single" w:sz="4" w:space="0" w:color="auto"/>
            </w:tcBorders>
          </w:tcPr>
          <w:p w14:paraId="07F581A7" w14:textId="77777777" w:rsidR="00BA2CDE" w:rsidRPr="003B3046" w:rsidRDefault="00BA2CDE" w:rsidP="00BA2CDE">
            <w:pPr>
              <w:spacing w:after="0"/>
              <w:jc w:val="center"/>
              <w:rPr>
                <w:b/>
              </w:rPr>
            </w:pPr>
            <w:r w:rsidRPr="003B3046">
              <w:rPr>
                <w:b/>
              </w:rPr>
              <w:t>5</w:t>
            </w:r>
          </w:p>
        </w:tc>
        <w:tc>
          <w:tcPr>
            <w:tcW w:w="992" w:type="dxa"/>
            <w:tcBorders>
              <w:bottom w:val="single" w:sz="4" w:space="0" w:color="auto"/>
            </w:tcBorders>
            <w:shd w:val="clear" w:color="auto" w:fill="F2F2F2"/>
            <w:vAlign w:val="bottom"/>
          </w:tcPr>
          <w:p w14:paraId="07F581A8" w14:textId="77777777" w:rsidR="00BA2CDE" w:rsidRDefault="00BA2CDE" w:rsidP="00BA2CDE">
            <w:pPr>
              <w:jc w:val="right"/>
              <w:rPr>
                <w:rFonts w:ascii="Calibri" w:hAnsi="Calibri" w:cs="Calibri"/>
                <w:color w:val="000000"/>
              </w:rPr>
            </w:pPr>
            <w:r>
              <w:rPr>
                <w:rFonts w:ascii="Calibri" w:hAnsi="Calibri" w:cs="Calibri"/>
                <w:color w:val="000000"/>
              </w:rPr>
              <w:t>131899</w:t>
            </w:r>
          </w:p>
        </w:tc>
        <w:tc>
          <w:tcPr>
            <w:tcW w:w="993" w:type="dxa"/>
            <w:tcBorders>
              <w:bottom w:val="single" w:sz="4" w:space="0" w:color="auto"/>
            </w:tcBorders>
            <w:vAlign w:val="bottom"/>
          </w:tcPr>
          <w:p w14:paraId="07F581A9" w14:textId="77777777" w:rsidR="00BA2CDE" w:rsidRDefault="00BA2CDE" w:rsidP="00BA2CDE">
            <w:pPr>
              <w:jc w:val="right"/>
              <w:rPr>
                <w:rFonts w:ascii="Calibri" w:hAnsi="Calibri" w:cs="Calibri"/>
                <w:color w:val="000000"/>
              </w:rPr>
            </w:pPr>
            <w:r>
              <w:rPr>
                <w:rFonts w:ascii="Calibri" w:hAnsi="Calibri" w:cs="Calibri"/>
                <w:color w:val="000000"/>
              </w:rPr>
              <w:t>6595</w:t>
            </w:r>
          </w:p>
        </w:tc>
        <w:tc>
          <w:tcPr>
            <w:tcW w:w="992" w:type="dxa"/>
            <w:tcBorders>
              <w:bottom w:val="single" w:sz="4" w:space="0" w:color="auto"/>
            </w:tcBorders>
            <w:shd w:val="clear" w:color="auto" w:fill="F2F2F2"/>
            <w:vAlign w:val="bottom"/>
          </w:tcPr>
          <w:p w14:paraId="07F581AA" w14:textId="77777777" w:rsidR="00BA2CDE" w:rsidRDefault="00BA2CDE" w:rsidP="00BA2CDE">
            <w:pPr>
              <w:jc w:val="right"/>
              <w:rPr>
                <w:rFonts w:ascii="Calibri" w:hAnsi="Calibri" w:cs="Calibri"/>
                <w:color w:val="000000"/>
              </w:rPr>
            </w:pPr>
            <w:r>
              <w:rPr>
                <w:rFonts w:ascii="Calibri" w:hAnsi="Calibri" w:cs="Calibri"/>
                <w:color w:val="000000"/>
              </w:rPr>
              <w:t>125304</w:t>
            </w:r>
          </w:p>
        </w:tc>
        <w:tc>
          <w:tcPr>
            <w:tcW w:w="992" w:type="dxa"/>
            <w:tcBorders>
              <w:bottom w:val="single" w:sz="4" w:space="0" w:color="auto"/>
            </w:tcBorders>
            <w:vAlign w:val="bottom"/>
          </w:tcPr>
          <w:p w14:paraId="07F581AB" w14:textId="77777777" w:rsidR="00BA2CDE" w:rsidRDefault="00BA2CDE" w:rsidP="00BA2CDE">
            <w:pPr>
              <w:jc w:val="right"/>
              <w:rPr>
                <w:rFonts w:ascii="Calibri" w:hAnsi="Calibri" w:cs="Calibri"/>
                <w:color w:val="000000"/>
              </w:rPr>
            </w:pPr>
            <w:r>
              <w:rPr>
                <w:rFonts w:ascii="Calibri" w:hAnsi="Calibri" w:cs="Calibri"/>
                <w:color w:val="000000"/>
              </w:rPr>
              <w:t>-95000</w:t>
            </w:r>
          </w:p>
        </w:tc>
        <w:tc>
          <w:tcPr>
            <w:tcW w:w="992" w:type="dxa"/>
            <w:tcBorders>
              <w:bottom w:val="single" w:sz="4" w:space="0" w:color="auto"/>
            </w:tcBorders>
            <w:vAlign w:val="bottom"/>
          </w:tcPr>
          <w:p w14:paraId="07F581AC" w14:textId="77777777" w:rsidR="00BA2CDE" w:rsidRDefault="00BA2CDE" w:rsidP="00BA2CDE">
            <w:pPr>
              <w:jc w:val="right"/>
              <w:rPr>
                <w:rFonts w:ascii="Calibri" w:hAnsi="Calibri" w:cs="Calibri"/>
                <w:color w:val="000000"/>
              </w:rPr>
            </w:pPr>
            <w:r>
              <w:rPr>
                <w:rFonts w:ascii="Calibri" w:hAnsi="Calibri" w:cs="Calibri"/>
                <w:color w:val="000000"/>
              </w:rPr>
              <w:t>30304</w:t>
            </w:r>
          </w:p>
        </w:tc>
        <w:tc>
          <w:tcPr>
            <w:tcW w:w="1134" w:type="dxa"/>
            <w:tcBorders>
              <w:bottom w:val="single" w:sz="4" w:space="0" w:color="auto"/>
            </w:tcBorders>
            <w:vAlign w:val="bottom"/>
          </w:tcPr>
          <w:p w14:paraId="07F581AD" w14:textId="77777777" w:rsidR="00BA2CDE" w:rsidRDefault="00BA2CDE" w:rsidP="00BA2CDE">
            <w:pPr>
              <w:jc w:val="right"/>
              <w:rPr>
                <w:rFonts w:ascii="Calibri" w:hAnsi="Calibri" w:cs="Calibri"/>
                <w:color w:val="000000"/>
              </w:rPr>
            </w:pPr>
            <w:r>
              <w:rPr>
                <w:rFonts w:ascii="Calibri" w:hAnsi="Calibri" w:cs="Calibri"/>
                <w:color w:val="000000"/>
              </w:rPr>
              <w:t>9091</w:t>
            </w:r>
          </w:p>
        </w:tc>
        <w:tc>
          <w:tcPr>
            <w:tcW w:w="1134" w:type="dxa"/>
            <w:tcBorders>
              <w:bottom w:val="single" w:sz="4" w:space="0" w:color="auto"/>
            </w:tcBorders>
            <w:shd w:val="clear" w:color="auto" w:fill="F2F2F2"/>
            <w:vAlign w:val="bottom"/>
          </w:tcPr>
          <w:p w14:paraId="07F581AE" w14:textId="77777777" w:rsidR="00BA2CDE" w:rsidRDefault="00BA2CDE" w:rsidP="00BA2CDE">
            <w:pPr>
              <w:jc w:val="right"/>
              <w:rPr>
                <w:rFonts w:ascii="Calibri" w:hAnsi="Calibri" w:cs="Calibri"/>
                <w:color w:val="000000"/>
              </w:rPr>
            </w:pPr>
            <w:r>
              <w:rPr>
                <w:rFonts w:ascii="Calibri" w:hAnsi="Calibri" w:cs="Calibri"/>
                <w:color w:val="000000"/>
              </w:rPr>
              <w:t>116213</w:t>
            </w:r>
          </w:p>
        </w:tc>
        <w:tc>
          <w:tcPr>
            <w:tcW w:w="1134" w:type="dxa"/>
            <w:tcBorders>
              <w:bottom w:val="single" w:sz="4" w:space="0" w:color="auto"/>
            </w:tcBorders>
            <w:shd w:val="clear" w:color="auto" w:fill="F2F2F2"/>
            <w:vAlign w:val="bottom"/>
          </w:tcPr>
          <w:p w14:paraId="07F581AF" w14:textId="77777777" w:rsidR="00BA2CDE" w:rsidRDefault="00BA2CDE" w:rsidP="00BA2CDE">
            <w:pPr>
              <w:jc w:val="right"/>
              <w:rPr>
                <w:rFonts w:ascii="Calibri" w:hAnsi="Calibri" w:cs="Calibri"/>
                <w:color w:val="000000"/>
              </w:rPr>
            </w:pPr>
            <w:r>
              <w:rPr>
                <w:rFonts w:ascii="Calibri" w:hAnsi="Calibri" w:cs="Calibri"/>
                <w:color w:val="000000"/>
              </w:rPr>
              <w:t>15686</w:t>
            </w:r>
          </w:p>
        </w:tc>
      </w:tr>
      <w:tr w:rsidR="00BA2CDE" w14:paraId="07F581BA" w14:textId="77777777" w:rsidTr="003761B5">
        <w:tc>
          <w:tcPr>
            <w:tcW w:w="817" w:type="dxa"/>
            <w:shd w:val="clear" w:color="auto" w:fill="F2F2F2"/>
          </w:tcPr>
          <w:p w14:paraId="07F581B1" w14:textId="77777777" w:rsidR="00BA2CDE" w:rsidRPr="003B3046" w:rsidRDefault="00BA2CDE" w:rsidP="00BA2CDE">
            <w:pPr>
              <w:spacing w:after="0"/>
              <w:rPr>
                <w:b/>
              </w:rPr>
            </w:pPr>
            <w:r w:rsidRPr="003B3046">
              <w:rPr>
                <w:b/>
              </w:rPr>
              <w:t>NPV</w:t>
            </w:r>
          </w:p>
        </w:tc>
        <w:tc>
          <w:tcPr>
            <w:tcW w:w="992" w:type="dxa"/>
            <w:shd w:val="clear" w:color="auto" w:fill="F2F2F2"/>
          </w:tcPr>
          <w:p w14:paraId="07F581B2" w14:textId="77777777" w:rsidR="00BA2CDE" w:rsidRPr="00D03345" w:rsidRDefault="00BA2CDE" w:rsidP="00223F0C">
            <w:pPr>
              <w:spacing w:after="0"/>
              <w:jc w:val="center"/>
              <w:rPr>
                <w:b/>
              </w:rPr>
            </w:pPr>
            <w:r w:rsidRPr="00D03345">
              <w:rPr>
                <w:b/>
              </w:rPr>
              <w:t>Zero</w:t>
            </w:r>
            <w:r>
              <w:rPr>
                <w:b/>
              </w:rPr>
              <w:t xml:space="preserve"> (</w:t>
            </w:r>
            <w:r w:rsidR="00223F0C">
              <w:rPr>
                <w:b/>
              </w:rPr>
              <w:t>i</w:t>
            </w:r>
            <w:r>
              <w:rPr>
                <w:b/>
              </w:rPr>
              <w:t>)</w:t>
            </w:r>
          </w:p>
        </w:tc>
        <w:tc>
          <w:tcPr>
            <w:tcW w:w="993" w:type="dxa"/>
            <w:shd w:val="clear" w:color="auto" w:fill="F2F2F2"/>
          </w:tcPr>
          <w:p w14:paraId="07F581B3" w14:textId="77777777" w:rsidR="00BA2CDE" w:rsidRPr="00890336" w:rsidRDefault="00BA2CDE" w:rsidP="00223F0C">
            <w:pPr>
              <w:spacing w:after="0"/>
              <w:jc w:val="center"/>
              <w:rPr>
                <w:b/>
              </w:rPr>
            </w:pPr>
            <w:r>
              <w:rPr>
                <w:b/>
              </w:rPr>
              <w:t>Zero (</w:t>
            </w:r>
            <w:r w:rsidR="00223F0C">
              <w:rPr>
                <w:b/>
              </w:rPr>
              <w:t>i</w:t>
            </w:r>
            <w:r>
              <w:rPr>
                <w:b/>
              </w:rPr>
              <w:t>)</w:t>
            </w:r>
          </w:p>
        </w:tc>
        <w:tc>
          <w:tcPr>
            <w:tcW w:w="992" w:type="dxa"/>
            <w:shd w:val="clear" w:color="auto" w:fill="F2F2F2"/>
          </w:tcPr>
          <w:p w14:paraId="07F581B4" w14:textId="77777777" w:rsidR="00BA2CDE" w:rsidRPr="00D90B3B" w:rsidRDefault="00BA2CDE" w:rsidP="00223F0C">
            <w:pPr>
              <w:spacing w:after="0"/>
              <w:jc w:val="center"/>
              <w:rPr>
                <w:b/>
              </w:rPr>
            </w:pPr>
            <w:r w:rsidRPr="00D90B3B">
              <w:rPr>
                <w:b/>
              </w:rPr>
              <w:t>Zero</w:t>
            </w:r>
            <w:r>
              <w:rPr>
                <w:b/>
              </w:rPr>
              <w:t xml:space="preserve"> (</w:t>
            </w:r>
            <w:r w:rsidR="00223F0C">
              <w:rPr>
                <w:b/>
              </w:rPr>
              <w:t>i</w:t>
            </w:r>
            <w:r>
              <w:rPr>
                <w:b/>
              </w:rPr>
              <w:t>)</w:t>
            </w:r>
          </w:p>
        </w:tc>
        <w:tc>
          <w:tcPr>
            <w:tcW w:w="992" w:type="dxa"/>
            <w:shd w:val="clear" w:color="auto" w:fill="F2F2F2"/>
          </w:tcPr>
          <w:p w14:paraId="07F581B5" w14:textId="77777777" w:rsidR="00BA2CDE" w:rsidRPr="00890336" w:rsidRDefault="00BA2CDE" w:rsidP="00BA2CDE">
            <w:pPr>
              <w:spacing w:after="0"/>
              <w:jc w:val="center"/>
              <w:rPr>
                <w:b/>
              </w:rPr>
            </w:pPr>
          </w:p>
        </w:tc>
        <w:tc>
          <w:tcPr>
            <w:tcW w:w="992" w:type="dxa"/>
            <w:shd w:val="clear" w:color="auto" w:fill="F2F2F2"/>
          </w:tcPr>
          <w:p w14:paraId="07F581B6" w14:textId="77777777" w:rsidR="00BA2CDE" w:rsidRPr="00890336" w:rsidRDefault="00BA2CDE" w:rsidP="00BA2CDE">
            <w:pPr>
              <w:spacing w:after="0"/>
              <w:jc w:val="center"/>
              <w:rPr>
                <w:b/>
              </w:rPr>
            </w:pPr>
          </w:p>
        </w:tc>
        <w:tc>
          <w:tcPr>
            <w:tcW w:w="1134" w:type="dxa"/>
            <w:shd w:val="clear" w:color="auto" w:fill="F2F2F2"/>
          </w:tcPr>
          <w:p w14:paraId="07F581B7" w14:textId="77777777" w:rsidR="00BA2CDE" w:rsidRDefault="003761B5" w:rsidP="003761B5">
            <w:pPr>
              <w:spacing w:after="0"/>
              <w:jc w:val="center"/>
              <w:rPr>
                <w:b/>
              </w:rPr>
            </w:pPr>
            <w:r>
              <w:rPr>
                <w:b/>
              </w:rPr>
              <w:t>$31,329(i)</w:t>
            </w:r>
          </w:p>
        </w:tc>
        <w:tc>
          <w:tcPr>
            <w:tcW w:w="1134" w:type="dxa"/>
            <w:shd w:val="clear" w:color="auto" w:fill="FFFFFF" w:themeFill="background1"/>
          </w:tcPr>
          <w:p w14:paraId="07F581B8" w14:textId="77777777" w:rsidR="00BA2CDE" w:rsidRDefault="00BA2CDE" w:rsidP="00223F0C">
            <w:pPr>
              <w:spacing w:after="0"/>
              <w:jc w:val="center"/>
              <w:rPr>
                <w:b/>
              </w:rPr>
            </w:pPr>
            <w:r>
              <w:rPr>
                <w:b/>
              </w:rPr>
              <w:t>$1,398 (</w:t>
            </w:r>
            <w:r w:rsidR="00223F0C">
              <w:rPr>
                <w:b/>
              </w:rPr>
              <w:t>j</w:t>
            </w:r>
            <w:r>
              <w:rPr>
                <w:b/>
              </w:rPr>
              <w:t>)</w:t>
            </w:r>
          </w:p>
        </w:tc>
        <w:tc>
          <w:tcPr>
            <w:tcW w:w="1134" w:type="dxa"/>
            <w:shd w:val="clear" w:color="auto" w:fill="F2F2F2"/>
          </w:tcPr>
          <w:p w14:paraId="07F581B9" w14:textId="77777777" w:rsidR="00BA2CDE" w:rsidRDefault="00BA2CDE" w:rsidP="003761B5">
            <w:pPr>
              <w:spacing w:after="0"/>
              <w:jc w:val="center"/>
              <w:rPr>
                <w:b/>
              </w:rPr>
            </w:pPr>
            <w:r>
              <w:rPr>
                <w:b/>
              </w:rPr>
              <w:t>$31,329(</w:t>
            </w:r>
            <w:r w:rsidR="00223F0C">
              <w:rPr>
                <w:b/>
              </w:rPr>
              <w:t>i</w:t>
            </w:r>
            <w:r>
              <w:rPr>
                <w:b/>
              </w:rPr>
              <w:t>)</w:t>
            </w:r>
          </w:p>
        </w:tc>
      </w:tr>
      <w:tr w:rsidR="00BA2CDE" w14:paraId="07F581C4" w14:textId="77777777" w:rsidTr="003761B5">
        <w:tc>
          <w:tcPr>
            <w:tcW w:w="817" w:type="dxa"/>
            <w:shd w:val="clear" w:color="auto" w:fill="F2F2F2"/>
          </w:tcPr>
          <w:p w14:paraId="07F581BB" w14:textId="77777777" w:rsidR="00BA2CDE" w:rsidRPr="003B3046" w:rsidRDefault="00BA2CDE" w:rsidP="00236275">
            <w:pPr>
              <w:spacing w:after="0"/>
              <w:rPr>
                <w:b/>
              </w:rPr>
            </w:pPr>
            <w:r w:rsidRPr="003B3046">
              <w:rPr>
                <w:b/>
              </w:rPr>
              <w:t>IRR</w:t>
            </w:r>
            <w:r>
              <w:rPr>
                <w:b/>
              </w:rPr>
              <w:t xml:space="preserve"> </w:t>
            </w:r>
          </w:p>
        </w:tc>
        <w:tc>
          <w:tcPr>
            <w:tcW w:w="992" w:type="dxa"/>
            <w:shd w:val="clear" w:color="auto" w:fill="F2F2F2"/>
          </w:tcPr>
          <w:p w14:paraId="07F581BC" w14:textId="77777777" w:rsidR="00BA2CDE" w:rsidRPr="00D03345" w:rsidRDefault="00BA2CDE" w:rsidP="00BA2CDE">
            <w:pPr>
              <w:spacing w:after="0"/>
              <w:jc w:val="center"/>
              <w:rPr>
                <w:b/>
              </w:rPr>
            </w:pPr>
            <w:r w:rsidRPr="00D03345">
              <w:rPr>
                <w:b/>
              </w:rPr>
              <w:t>10.0</w:t>
            </w:r>
            <w:r w:rsidR="00236275">
              <w:rPr>
                <w:b/>
              </w:rPr>
              <w:t>%</w:t>
            </w:r>
          </w:p>
        </w:tc>
        <w:tc>
          <w:tcPr>
            <w:tcW w:w="993" w:type="dxa"/>
            <w:shd w:val="clear" w:color="auto" w:fill="F2F2F2"/>
          </w:tcPr>
          <w:p w14:paraId="07F581BD" w14:textId="77777777" w:rsidR="00BA2CDE" w:rsidRPr="00890336" w:rsidRDefault="00BA2CDE" w:rsidP="00BA2CDE">
            <w:pPr>
              <w:spacing w:after="0"/>
              <w:jc w:val="center"/>
              <w:rPr>
                <w:b/>
              </w:rPr>
            </w:pPr>
            <w:r>
              <w:rPr>
                <w:b/>
              </w:rPr>
              <w:t>10.0</w:t>
            </w:r>
            <w:r w:rsidR="00236275">
              <w:rPr>
                <w:b/>
              </w:rPr>
              <w:t>%</w:t>
            </w:r>
          </w:p>
        </w:tc>
        <w:tc>
          <w:tcPr>
            <w:tcW w:w="992" w:type="dxa"/>
            <w:shd w:val="clear" w:color="auto" w:fill="F2F2F2"/>
          </w:tcPr>
          <w:p w14:paraId="07F581BE" w14:textId="77777777" w:rsidR="00BA2CDE" w:rsidRPr="00D90B3B" w:rsidRDefault="00BA2CDE" w:rsidP="00BA2CDE">
            <w:pPr>
              <w:spacing w:after="0"/>
              <w:jc w:val="center"/>
              <w:rPr>
                <w:b/>
              </w:rPr>
            </w:pPr>
            <w:r w:rsidRPr="00D90B3B">
              <w:rPr>
                <w:b/>
              </w:rPr>
              <w:t>10.0</w:t>
            </w:r>
            <w:r w:rsidR="00236275">
              <w:rPr>
                <w:b/>
              </w:rPr>
              <w:t>%</w:t>
            </w:r>
          </w:p>
        </w:tc>
        <w:tc>
          <w:tcPr>
            <w:tcW w:w="992" w:type="dxa"/>
            <w:shd w:val="clear" w:color="auto" w:fill="F2F2F2"/>
          </w:tcPr>
          <w:p w14:paraId="07F581BF" w14:textId="77777777" w:rsidR="00BA2CDE" w:rsidRPr="00890336" w:rsidRDefault="00BA2CDE" w:rsidP="00BA2CDE">
            <w:pPr>
              <w:spacing w:after="0"/>
              <w:jc w:val="center"/>
              <w:rPr>
                <w:b/>
              </w:rPr>
            </w:pPr>
          </w:p>
        </w:tc>
        <w:tc>
          <w:tcPr>
            <w:tcW w:w="992" w:type="dxa"/>
            <w:shd w:val="clear" w:color="auto" w:fill="F2F2F2"/>
          </w:tcPr>
          <w:p w14:paraId="07F581C0" w14:textId="77777777" w:rsidR="00BA2CDE" w:rsidRPr="00890336" w:rsidRDefault="00BA2CDE" w:rsidP="00BA2CDE">
            <w:pPr>
              <w:spacing w:after="0"/>
              <w:jc w:val="center"/>
              <w:rPr>
                <w:b/>
              </w:rPr>
            </w:pPr>
          </w:p>
        </w:tc>
        <w:tc>
          <w:tcPr>
            <w:tcW w:w="1134" w:type="dxa"/>
            <w:shd w:val="clear" w:color="auto" w:fill="F2F2F2"/>
          </w:tcPr>
          <w:p w14:paraId="07F581C1" w14:textId="77777777" w:rsidR="00BA2CDE" w:rsidRDefault="00BA2CDE" w:rsidP="00BA2CDE">
            <w:pPr>
              <w:spacing w:after="0"/>
              <w:jc w:val="center"/>
              <w:rPr>
                <w:b/>
              </w:rPr>
            </w:pPr>
          </w:p>
        </w:tc>
        <w:tc>
          <w:tcPr>
            <w:tcW w:w="1134" w:type="dxa"/>
            <w:shd w:val="clear" w:color="auto" w:fill="FFFFFF" w:themeFill="background1"/>
          </w:tcPr>
          <w:p w14:paraId="07F581C2" w14:textId="77777777" w:rsidR="00BA2CDE" w:rsidRDefault="00BA2CDE" w:rsidP="00BA2CDE">
            <w:pPr>
              <w:spacing w:after="0"/>
              <w:jc w:val="center"/>
              <w:rPr>
                <w:b/>
              </w:rPr>
            </w:pPr>
            <w:r>
              <w:rPr>
                <w:b/>
              </w:rPr>
              <w:t>7.12</w:t>
            </w:r>
            <w:r w:rsidR="00236275">
              <w:rPr>
                <w:b/>
              </w:rPr>
              <w:t>%</w:t>
            </w:r>
          </w:p>
        </w:tc>
        <w:tc>
          <w:tcPr>
            <w:tcW w:w="1134" w:type="dxa"/>
            <w:shd w:val="clear" w:color="auto" w:fill="F2F2F2"/>
          </w:tcPr>
          <w:p w14:paraId="07F581C3" w14:textId="77777777" w:rsidR="00BA2CDE" w:rsidRDefault="00BA2CDE" w:rsidP="00BA2CDE">
            <w:pPr>
              <w:spacing w:after="0"/>
              <w:jc w:val="center"/>
              <w:rPr>
                <w:b/>
              </w:rPr>
            </w:pPr>
          </w:p>
        </w:tc>
      </w:tr>
      <w:tr w:rsidR="00BA2CDE" w14:paraId="07F581CE" w14:textId="77777777" w:rsidTr="003761B5">
        <w:tc>
          <w:tcPr>
            <w:tcW w:w="817" w:type="dxa"/>
            <w:shd w:val="clear" w:color="auto" w:fill="F2F2F2"/>
          </w:tcPr>
          <w:p w14:paraId="07F581C5" w14:textId="77777777" w:rsidR="00BA2CDE" w:rsidRPr="003B3046" w:rsidRDefault="00BA2CDE" w:rsidP="00BA2CDE">
            <w:pPr>
              <w:spacing w:after="0"/>
              <w:rPr>
                <w:b/>
              </w:rPr>
            </w:pPr>
            <w:r>
              <w:rPr>
                <w:b/>
              </w:rPr>
              <w:t>Sum</w:t>
            </w:r>
          </w:p>
        </w:tc>
        <w:tc>
          <w:tcPr>
            <w:tcW w:w="992" w:type="dxa"/>
            <w:shd w:val="clear" w:color="auto" w:fill="F2F2F2"/>
          </w:tcPr>
          <w:p w14:paraId="07F581C6" w14:textId="77777777" w:rsidR="00BA2CDE" w:rsidRPr="00D03345" w:rsidRDefault="00BA2CDE" w:rsidP="00BA2CDE">
            <w:pPr>
              <w:spacing w:after="0"/>
              <w:jc w:val="center"/>
              <w:rPr>
                <w:b/>
              </w:rPr>
            </w:pPr>
          </w:p>
        </w:tc>
        <w:tc>
          <w:tcPr>
            <w:tcW w:w="993" w:type="dxa"/>
            <w:shd w:val="clear" w:color="auto" w:fill="F2F2F2"/>
          </w:tcPr>
          <w:p w14:paraId="07F581C7" w14:textId="77777777" w:rsidR="00BA2CDE" w:rsidRDefault="00BA2CDE" w:rsidP="00BA2CDE">
            <w:pPr>
              <w:spacing w:after="0"/>
              <w:jc w:val="center"/>
              <w:rPr>
                <w:b/>
              </w:rPr>
            </w:pPr>
            <w:r>
              <w:rPr>
                <w:b/>
              </w:rPr>
              <w:t>$7,975</w:t>
            </w:r>
          </w:p>
        </w:tc>
        <w:tc>
          <w:tcPr>
            <w:tcW w:w="992" w:type="dxa"/>
            <w:shd w:val="clear" w:color="auto" w:fill="F2F2F2"/>
          </w:tcPr>
          <w:p w14:paraId="07F581C8" w14:textId="77777777" w:rsidR="00BA2CDE" w:rsidRPr="00D90B3B" w:rsidRDefault="00BA2CDE" w:rsidP="00BA2CDE">
            <w:pPr>
              <w:spacing w:after="0"/>
              <w:jc w:val="center"/>
              <w:rPr>
                <w:b/>
              </w:rPr>
            </w:pPr>
          </w:p>
        </w:tc>
        <w:tc>
          <w:tcPr>
            <w:tcW w:w="992" w:type="dxa"/>
            <w:shd w:val="clear" w:color="auto" w:fill="F2F2F2"/>
          </w:tcPr>
          <w:p w14:paraId="07F581C9" w14:textId="77777777" w:rsidR="00BA2CDE" w:rsidRPr="00890336" w:rsidRDefault="00BA2CDE" w:rsidP="00BA2CDE">
            <w:pPr>
              <w:spacing w:after="0"/>
              <w:jc w:val="center"/>
              <w:rPr>
                <w:b/>
              </w:rPr>
            </w:pPr>
          </w:p>
        </w:tc>
        <w:tc>
          <w:tcPr>
            <w:tcW w:w="992" w:type="dxa"/>
            <w:shd w:val="clear" w:color="auto" w:fill="F2F2F2"/>
          </w:tcPr>
          <w:p w14:paraId="07F581CA" w14:textId="77777777" w:rsidR="00BA2CDE" w:rsidRPr="00890336" w:rsidRDefault="00BA2CDE" w:rsidP="00BA2CDE">
            <w:pPr>
              <w:spacing w:after="0"/>
              <w:jc w:val="center"/>
              <w:rPr>
                <w:b/>
              </w:rPr>
            </w:pPr>
          </w:p>
        </w:tc>
        <w:tc>
          <w:tcPr>
            <w:tcW w:w="1134" w:type="dxa"/>
            <w:shd w:val="clear" w:color="auto" w:fill="F2F2F2"/>
          </w:tcPr>
          <w:p w14:paraId="07F581CB" w14:textId="77777777" w:rsidR="00BA2CDE" w:rsidRDefault="00BA2CDE" w:rsidP="00BA2CDE">
            <w:pPr>
              <w:spacing w:after="0"/>
              <w:jc w:val="center"/>
              <w:rPr>
                <w:b/>
              </w:rPr>
            </w:pPr>
            <w:r>
              <w:rPr>
                <w:b/>
              </w:rPr>
              <w:t>$45,456</w:t>
            </w:r>
          </w:p>
        </w:tc>
        <w:tc>
          <w:tcPr>
            <w:tcW w:w="1134" w:type="dxa"/>
            <w:shd w:val="clear" w:color="auto" w:fill="F2F2F2"/>
          </w:tcPr>
          <w:p w14:paraId="07F581CC" w14:textId="77777777" w:rsidR="00BA2CDE" w:rsidRDefault="00BA2CDE" w:rsidP="00BA2CDE">
            <w:pPr>
              <w:spacing w:after="0"/>
              <w:jc w:val="center"/>
              <w:rPr>
                <w:b/>
              </w:rPr>
            </w:pPr>
          </w:p>
        </w:tc>
        <w:tc>
          <w:tcPr>
            <w:tcW w:w="1134" w:type="dxa"/>
            <w:shd w:val="clear" w:color="auto" w:fill="F2F2F2"/>
          </w:tcPr>
          <w:p w14:paraId="07F581CD" w14:textId="77777777" w:rsidR="00BA2CDE" w:rsidRDefault="00BA2CDE" w:rsidP="00BA2CDE">
            <w:pPr>
              <w:spacing w:after="0"/>
              <w:jc w:val="center"/>
              <w:rPr>
                <w:b/>
              </w:rPr>
            </w:pPr>
            <w:r>
              <w:rPr>
                <w:b/>
              </w:rPr>
              <w:t>$53,431</w:t>
            </w:r>
          </w:p>
        </w:tc>
      </w:tr>
    </w:tbl>
    <w:p w14:paraId="07F581CF" w14:textId="77777777" w:rsidR="00BA2CDE" w:rsidRDefault="00236275" w:rsidP="00BA2CDE">
      <w:pPr>
        <w:numPr>
          <w:ilvl w:val="0"/>
          <w:numId w:val="8"/>
        </w:numPr>
        <w:spacing w:after="0"/>
      </w:pPr>
      <w:r>
        <w:t>As in Table B.7 of interim report.</w:t>
      </w:r>
    </w:p>
    <w:p w14:paraId="07F581D0" w14:textId="77777777" w:rsidR="00236275" w:rsidRDefault="00236275" w:rsidP="00BA2CDE">
      <w:pPr>
        <w:numPr>
          <w:ilvl w:val="0"/>
          <w:numId w:val="8"/>
        </w:numPr>
        <w:spacing w:after="0"/>
      </w:pPr>
      <w:r>
        <w:t xml:space="preserve">5% x Column (a), as in Table B.7 of interim report. </w:t>
      </w:r>
    </w:p>
    <w:p w14:paraId="07F581D1" w14:textId="77777777" w:rsidR="00BA2CDE" w:rsidRDefault="00236275" w:rsidP="00BA2CDE">
      <w:pPr>
        <w:numPr>
          <w:ilvl w:val="0"/>
          <w:numId w:val="8"/>
        </w:numPr>
        <w:spacing w:after="0"/>
      </w:pPr>
      <w:r>
        <w:t>Column (a) less Column (b).</w:t>
      </w:r>
    </w:p>
    <w:p w14:paraId="07F581D2" w14:textId="77777777" w:rsidR="00BA2CDE" w:rsidRDefault="00236275" w:rsidP="00BA2CDE">
      <w:pPr>
        <w:numPr>
          <w:ilvl w:val="0"/>
          <w:numId w:val="8"/>
        </w:numPr>
        <w:spacing w:after="0"/>
      </w:pPr>
      <w:r>
        <w:t>20% write-off each year of $500,000 Year 0 investment less $25,000 NCT</w:t>
      </w:r>
      <w:r w:rsidR="00981930">
        <w:t xml:space="preserve"> </w:t>
      </w:r>
      <w:r w:rsidR="00BB5D24">
        <w:t>‘refund’</w:t>
      </w:r>
      <w:r>
        <w:t>.</w:t>
      </w:r>
    </w:p>
    <w:p w14:paraId="07F581D3" w14:textId="77777777" w:rsidR="00BA2CDE" w:rsidRDefault="00223F0C" w:rsidP="00BA2CDE">
      <w:pPr>
        <w:numPr>
          <w:ilvl w:val="0"/>
          <w:numId w:val="8"/>
        </w:numPr>
        <w:spacing w:after="0"/>
      </w:pPr>
      <w:r>
        <w:t>From Year 1, Column (c) less Column (d).</w:t>
      </w:r>
    </w:p>
    <w:p w14:paraId="07F581D4" w14:textId="77777777" w:rsidR="00BA2CDE" w:rsidRDefault="00223F0C" w:rsidP="00BA2CDE">
      <w:pPr>
        <w:numPr>
          <w:ilvl w:val="0"/>
          <w:numId w:val="8"/>
        </w:numPr>
        <w:spacing w:after="0"/>
      </w:pPr>
      <w:r>
        <w:t>Column (e) x 30% income tax rate.</w:t>
      </w:r>
    </w:p>
    <w:p w14:paraId="07F581D5" w14:textId="77777777" w:rsidR="00BA2CDE" w:rsidRDefault="00223F0C" w:rsidP="00BA2CDE">
      <w:pPr>
        <w:numPr>
          <w:ilvl w:val="0"/>
          <w:numId w:val="8"/>
        </w:numPr>
        <w:spacing w:after="0"/>
      </w:pPr>
      <w:r>
        <w:t>Column (</w:t>
      </w:r>
      <w:r w:rsidR="003D7582">
        <w:t>c</w:t>
      </w:r>
      <w:r>
        <w:t>) less Column (f).</w:t>
      </w:r>
      <w:r w:rsidR="00BA2CDE">
        <w:t xml:space="preserve"> </w:t>
      </w:r>
    </w:p>
    <w:p w14:paraId="07F581D6" w14:textId="77777777" w:rsidR="003D7582" w:rsidRDefault="003D7582" w:rsidP="00BA2CDE">
      <w:pPr>
        <w:numPr>
          <w:ilvl w:val="0"/>
          <w:numId w:val="8"/>
        </w:numPr>
        <w:spacing w:after="0"/>
      </w:pPr>
      <w:r>
        <w:t>Column (b) plus Column (f).</w:t>
      </w:r>
    </w:p>
    <w:p w14:paraId="07F581D7" w14:textId="77777777" w:rsidR="00BA2CDE" w:rsidRDefault="00BA2CDE" w:rsidP="00BA2CDE">
      <w:pPr>
        <w:numPr>
          <w:ilvl w:val="0"/>
          <w:numId w:val="8"/>
        </w:numPr>
        <w:spacing w:after="0"/>
      </w:pPr>
      <w:r>
        <w:lastRenderedPageBreak/>
        <w:t>Discounting at 10% pa pre-all taxes (and post-cash flow tax) discount rate.</w:t>
      </w:r>
    </w:p>
    <w:p w14:paraId="07F581D8" w14:textId="77777777" w:rsidR="00BA2CDE" w:rsidRDefault="00BA2CDE" w:rsidP="00BA2CDE">
      <w:pPr>
        <w:numPr>
          <w:ilvl w:val="0"/>
          <w:numId w:val="8"/>
        </w:numPr>
        <w:spacing w:after="0"/>
      </w:pPr>
      <w:r>
        <w:t>Discounting at investors’ post-income tax discount rate of 7% pa – that is, 10x(1-0.3)% pa.</w:t>
      </w:r>
    </w:p>
    <w:p w14:paraId="07F581D9" w14:textId="77777777" w:rsidR="007F6FCA" w:rsidRDefault="00BA2CDE" w:rsidP="00BA2CDE">
      <w:r>
        <w:t xml:space="preserve"> </w:t>
      </w:r>
    </w:p>
    <w:p w14:paraId="07F581DA" w14:textId="77777777" w:rsidR="00981930" w:rsidRDefault="00981930" w:rsidP="00BA2CDE">
      <w:r>
        <w:t xml:space="preserve">In Table 2, the </w:t>
      </w:r>
      <w:r w:rsidRPr="004835FF">
        <w:rPr>
          <w:u w:val="single"/>
        </w:rPr>
        <w:t>after-all taxes</w:t>
      </w:r>
      <w:r>
        <w:t xml:space="preserve"> return and NPV of the investment come out as 7.12% pa and $1,398, respectively. These after-all taxes results again differ from 7% pa and zero NPV, but this time only because straight-line write-off is employed for income taxation rather than economic depreciation.</w:t>
      </w:r>
    </w:p>
    <w:p w14:paraId="07F581DB" w14:textId="77777777" w:rsidR="00475829" w:rsidRDefault="00B02CF3" w:rsidP="00475829">
      <w:pPr>
        <w:pStyle w:val="ListParagraph"/>
        <w:numPr>
          <w:ilvl w:val="0"/>
          <w:numId w:val="23"/>
        </w:numPr>
      </w:pPr>
      <w:r>
        <w:t xml:space="preserve">Because </w:t>
      </w:r>
      <w:r w:rsidR="00665289">
        <w:t xml:space="preserve">income tax in Table 2 recognises </w:t>
      </w:r>
      <w:r>
        <w:t xml:space="preserve">the NCT’s impact on pre-tax flows, total and discounted tax revenue in the table is $2392 and $1650 less, respectively, than in Table 1. Those differences </w:t>
      </w:r>
      <w:r w:rsidR="00475829">
        <w:t xml:space="preserve">are explained solely by the same </w:t>
      </w:r>
      <w:r>
        <w:t xml:space="preserve">respective differences in income tax payments between the two tables. </w:t>
      </w:r>
    </w:p>
    <w:p w14:paraId="07F581DC" w14:textId="77777777" w:rsidR="00665289" w:rsidRDefault="00475829" w:rsidP="00475829">
      <w:pPr>
        <w:pStyle w:val="ListParagraph"/>
        <w:numPr>
          <w:ilvl w:val="0"/>
          <w:numId w:val="23"/>
        </w:numPr>
      </w:pPr>
      <w:r>
        <w:t>The difference in income tax revenue between the two tables is consistent with no tax being paid in Table 2 on the normal return associated with 5% of the investment cash flows</w:t>
      </w:r>
      <w:r w:rsidR="00354DB0">
        <w:t xml:space="preserve"> </w:t>
      </w:r>
      <w:r w:rsidR="00767ACE">
        <w:t xml:space="preserve">removed from </w:t>
      </w:r>
      <w:r w:rsidR="00354DB0">
        <w:t xml:space="preserve">the income tax </w:t>
      </w:r>
      <w:r w:rsidR="00767ACE">
        <w:t>base</w:t>
      </w:r>
      <w:r>
        <w:t>.</w:t>
      </w:r>
      <w:r w:rsidR="00665289">
        <w:t xml:space="preserve"> </w:t>
      </w:r>
      <w:r w:rsidR="0029726D">
        <w:t>T</w:t>
      </w:r>
      <w:r w:rsidR="00665289">
        <w:t xml:space="preserve">hat tax not paid is 5% of total </w:t>
      </w:r>
      <w:r w:rsidR="0029726D">
        <w:t xml:space="preserve">income tax payments </w:t>
      </w:r>
      <w:r w:rsidR="00665289">
        <w:t>in the table – or, $2392.</w:t>
      </w:r>
    </w:p>
    <w:p w14:paraId="07F581DD" w14:textId="77777777" w:rsidR="00665289" w:rsidRDefault="00665289" w:rsidP="00475829">
      <w:pPr>
        <w:pStyle w:val="ListParagraph"/>
        <w:numPr>
          <w:ilvl w:val="0"/>
          <w:numId w:val="23"/>
        </w:numPr>
      </w:pPr>
      <w:r>
        <w:t xml:space="preserve">If, alternatively, the </w:t>
      </w:r>
      <w:r w:rsidR="00354DB0">
        <w:t>investment in Table 2 had produced an above</w:t>
      </w:r>
      <w:r w:rsidR="00767ACE">
        <w:t>-</w:t>
      </w:r>
      <w:r w:rsidR="00354DB0">
        <w:t xml:space="preserve">normal return (above 10% pa assumed here), government would receive </w:t>
      </w:r>
      <w:r w:rsidR="00917B10">
        <w:t xml:space="preserve">as NCT revenue </w:t>
      </w:r>
      <w:r w:rsidR="00354DB0">
        <w:t>all the above-normal profit associated with its 5% stake in the project.</w:t>
      </w:r>
      <w:r>
        <w:t xml:space="preserve"> </w:t>
      </w:r>
      <w:r w:rsidR="00475829">
        <w:t xml:space="preserve"> </w:t>
      </w:r>
    </w:p>
    <w:p w14:paraId="07F581DE" w14:textId="77777777" w:rsidR="00B02CF3" w:rsidRDefault="00767ACE" w:rsidP="00475829">
      <w:pPr>
        <w:pStyle w:val="ListParagraph"/>
        <w:numPr>
          <w:ilvl w:val="0"/>
          <w:numId w:val="23"/>
        </w:numPr>
      </w:pPr>
      <w:r>
        <w:t>Going to the extreme, w</w:t>
      </w:r>
      <w:r w:rsidR="00475829">
        <w:t xml:space="preserve">ere the NCT rate set at 100%, no income tax would </w:t>
      </w:r>
      <w:r w:rsidR="0029726D">
        <w:t>apply</w:t>
      </w:r>
      <w:r w:rsidR="00475829">
        <w:t xml:space="preserve"> </w:t>
      </w:r>
      <w:r w:rsidR="0029726D">
        <w:t>to companies</w:t>
      </w:r>
      <w:r w:rsidR="00475829">
        <w:t xml:space="preserve"> </w:t>
      </w:r>
      <w:r w:rsidR="0029726D">
        <w:t xml:space="preserve">at </w:t>
      </w:r>
      <w:r w:rsidR="00475829">
        <w:t xml:space="preserve">all and government would </w:t>
      </w:r>
      <w:r>
        <w:t>collect all</w:t>
      </w:r>
      <w:r w:rsidR="00475829">
        <w:t xml:space="preserve"> </w:t>
      </w:r>
      <w:r>
        <w:t xml:space="preserve">of companies’ </w:t>
      </w:r>
      <w:r w:rsidR="00475829">
        <w:t>above-normal returns</w:t>
      </w:r>
      <w:r>
        <w:t>, with normal returns subject to no tax</w:t>
      </w:r>
      <w:r w:rsidR="00475829">
        <w:t xml:space="preserve">.  </w:t>
      </w:r>
      <w:r w:rsidR="00B02CF3">
        <w:t xml:space="preserve">  </w:t>
      </w:r>
    </w:p>
    <w:p w14:paraId="07F581DF" w14:textId="77777777" w:rsidR="00152380" w:rsidRDefault="004835FF" w:rsidP="00BA2CDE">
      <w:r>
        <w:t xml:space="preserve">To highlight </w:t>
      </w:r>
      <w:r w:rsidR="00475829">
        <w:t>more clearly</w:t>
      </w:r>
      <w:r w:rsidR="00543CB1">
        <w:t xml:space="preserve"> the distortive nature of the report’s </w:t>
      </w:r>
      <w:r w:rsidR="00BB5D24">
        <w:t>adding</w:t>
      </w:r>
      <w:r w:rsidR="00543CB1">
        <w:t xml:space="preserve"> of NCT </w:t>
      </w:r>
      <w:r w:rsidR="00BB5D24">
        <w:t>to</w:t>
      </w:r>
      <w:r w:rsidR="00543CB1">
        <w:t xml:space="preserve"> income taxation</w:t>
      </w:r>
      <w:r w:rsidR="00BC22DD">
        <w:t>,</w:t>
      </w:r>
      <w:r w:rsidR="00543CB1">
        <w:t xml:space="preserve"> Tables A1 and A2 </w:t>
      </w:r>
      <w:r>
        <w:t xml:space="preserve">in the attachment to this submission </w:t>
      </w:r>
      <w:r w:rsidR="00543CB1">
        <w:t>replace st</w:t>
      </w:r>
      <w:r w:rsidR="00152380">
        <w:t xml:space="preserve">raight-line write-off in </w:t>
      </w:r>
      <w:r w:rsidR="00543CB1">
        <w:t>Tables 1 and 2</w:t>
      </w:r>
      <w:r>
        <w:t xml:space="preserve"> with e</w:t>
      </w:r>
      <w:r w:rsidR="00152380">
        <w:t>conomic depreciation.</w:t>
      </w:r>
      <w:r>
        <w:t xml:space="preserve"> As a result:</w:t>
      </w:r>
      <w:r w:rsidR="00152380">
        <w:t xml:space="preserve"> </w:t>
      </w:r>
    </w:p>
    <w:p w14:paraId="07F581E0" w14:textId="77777777" w:rsidR="00152380" w:rsidRDefault="00135A97" w:rsidP="00135A97">
      <w:pPr>
        <w:pStyle w:val="ListParagraph"/>
        <w:numPr>
          <w:ilvl w:val="0"/>
          <w:numId w:val="22"/>
        </w:numPr>
      </w:pPr>
      <w:r>
        <w:t>i</w:t>
      </w:r>
      <w:r w:rsidR="00543CB1">
        <w:t>n</w:t>
      </w:r>
      <w:r w:rsidR="00152380">
        <w:t xml:space="preserve"> Table A1</w:t>
      </w:r>
      <w:r w:rsidR="004738AB">
        <w:t xml:space="preserve">, </w:t>
      </w:r>
      <w:r w:rsidR="004738AB" w:rsidRPr="00135A97">
        <w:rPr>
          <w:u w:val="single"/>
        </w:rPr>
        <w:t>after both taxes</w:t>
      </w:r>
      <w:r w:rsidR="004738AB">
        <w:t xml:space="preserve"> the investment’s return in 6.84% pa and NPV is minus $1,906.</w:t>
      </w:r>
      <w:r w:rsidR="00152380">
        <w:t xml:space="preserve"> </w:t>
      </w:r>
      <w:r w:rsidR="004835FF">
        <w:t>Again, t</w:t>
      </w:r>
      <w:r w:rsidR="004738AB">
        <w:t>hat</w:t>
      </w:r>
      <w:r w:rsidR="00152380">
        <w:t xml:space="preserve"> illustrates the non-neutrality of the proposed NCT/income tax arrangements</w:t>
      </w:r>
      <w:r>
        <w:t>;</w:t>
      </w:r>
      <w:r w:rsidR="00152380">
        <w:t xml:space="preserve"> </w:t>
      </w:r>
    </w:p>
    <w:p w14:paraId="07F581E1" w14:textId="77777777" w:rsidR="004835FF" w:rsidRDefault="00135A97" w:rsidP="00135A97">
      <w:pPr>
        <w:pStyle w:val="ListParagraph"/>
        <w:numPr>
          <w:ilvl w:val="0"/>
          <w:numId w:val="22"/>
        </w:numPr>
      </w:pPr>
      <w:r>
        <w:t>i</w:t>
      </w:r>
      <w:r w:rsidR="004835FF">
        <w:t xml:space="preserve">n Table A2, </w:t>
      </w:r>
      <w:r w:rsidR="004835FF" w:rsidRPr="00135A97">
        <w:rPr>
          <w:u w:val="single"/>
        </w:rPr>
        <w:t>after both taxes</w:t>
      </w:r>
      <w:r w:rsidR="004835FF">
        <w:t xml:space="preserve"> the investment’s return is 7% pa and NPV is zero – as expected from the neutrality chart. This reflects design that is sympathetic to the impact that the NCT has on</w:t>
      </w:r>
      <w:r w:rsidR="00475829">
        <w:t xml:space="preserve"> pre-tax cash flow (and, thus, </w:t>
      </w:r>
      <w:r w:rsidR="004835FF">
        <w:t>value</w:t>
      </w:r>
      <w:r w:rsidR="00475829">
        <w:t>)</w:t>
      </w:r>
      <w:r w:rsidR="004835FF">
        <w:t xml:space="preserve"> of the investment by the company in Table B.7. </w:t>
      </w:r>
    </w:p>
    <w:p w14:paraId="07F581E2" w14:textId="77777777" w:rsidR="002C484F" w:rsidRDefault="00152380" w:rsidP="00BA2CDE">
      <w:r>
        <w:t>Th</w:t>
      </w:r>
      <w:r w:rsidR="00135A97">
        <w:t>e</w:t>
      </w:r>
      <w:r>
        <w:t xml:space="preserve"> non-neutral impact </w:t>
      </w:r>
      <w:r w:rsidR="00135A97">
        <w:t xml:space="preserve">shown in Table A1 </w:t>
      </w:r>
      <w:r>
        <w:t xml:space="preserve">comes from the modest 5% NCT tax rate. </w:t>
      </w:r>
      <w:r w:rsidR="009E2E7D">
        <w:t>A feel for t</w:t>
      </w:r>
      <w:r>
        <w:t xml:space="preserve">he non-neutral </w:t>
      </w:r>
      <w:r w:rsidR="00981930">
        <w:t>impact</w:t>
      </w:r>
      <w:r>
        <w:t xml:space="preserve"> </w:t>
      </w:r>
      <w:r w:rsidR="00BC22DD">
        <w:t xml:space="preserve">the report’s proposed </w:t>
      </w:r>
      <w:r w:rsidR="0053650D">
        <w:t xml:space="preserve">design with a 40% </w:t>
      </w:r>
      <w:r w:rsidR="009E2E7D">
        <w:t xml:space="preserve">NCT rate </w:t>
      </w:r>
      <w:r w:rsidR="0053650D">
        <w:t>c</w:t>
      </w:r>
      <w:r>
        <w:t xml:space="preserve">an be </w:t>
      </w:r>
      <w:r w:rsidR="009E2E7D">
        <w:t xml:space="preserve">obtained </w:t>
      </w:r>
      <w:r>
        <w:t xml:space="preserve">by applying </w:t>
      </w:r>
      <w:r w:rsidR="009E2E7D">
        <w:t xml:space="preserve">the design </w:t>
      </w:r>
      <w:r>
        <w:t>to the hypothetical mining investment of just $1000 in Table 20 in Mayo</w:t>
      </w:r>
      <w:r>
        <w:rPr>
          <w:rStyle w:val="FootnoteReference"/>
        </w:rPr>
        <w:footnoteReference w:id="36"/>
      </w:r>
      <w:r>
        <w:t>. The table already applies economic depreciation</w:t>
      </w:r>
      <w:r w:rsidR="009E2E7D">
        <w:t xml:space="preserve"> and a 40% CFT</w:t>
      </w:r>
      <w:r>
        <w:t xml:space="preserve">. </w:t>
      </w:r>
      <w:r w:rsidR="003D16DB">
        <w:t>Substituting the report’s design sees t</w:t>
      </w:r>
      <w:r>
        <w:t>he 7% pa and zero NPV post-taxes results in that table become 5% pa and minus $42.</w:t>
      </w:r>
    </w:p>
    <w:p w14:paraId="07F581E3" w14:textId="77777777" w:rsidR="00BA2CDE" w:rsidRDefault="002C484F" w:rsidP="00BA2CDE">
      <w:r>
        <w:t xml:space="preserve">This analysis contrasts sharply with that in the interim report </w:t>
      </w:r>
      <w:r w:rsidR="00B46D2B">
        <w:t xml:space="preserve">of </w:t>
      </w:r>
      <w:r>
        <w:t>a similar investment with a pre-tax return of 10% pa and subject to income tax</w:t>
      </w:r>
      <w:r w:rsidR="00B46D2B">
        <w:t xml:space="preserve"> at a rate of 20%</w:t>
      </w:r>
      <w:r>
        <w:t xml:space="preserve"> </w:t>
      </w:r>
      <w:r w:rsidR="00B46D2B">
        <w:t>with</w:t>
      </w:r>
      <w:r>
        <w:t xml:space="preserve"> straight-line depreciation</w:t>
      </w:r>
      <w:r w:rsidR="00B46D2B">
        <w:t xml:space="preserve"> allowed</w:t>
      </w:r>
      <w:r>
        <w:t xml:space="preserve"> (Table B.1, </w:t>
      </w:r>
      <w:r w:rsidR="00981930">
        <w:t>pages</w:t>
      </w:r>
      <w:r>
        <w:t xml:space="preserve"> 61</w:t>
      </w:r>
      <w:r w:rsidR="00981930">
        <w:t>-62</w:t>
      </w:r>
      <w:r>
        <w:t xml:space="preserve">). The interim report claims that the required return of the investment </w:t>
      </w:r>
      <w:r w:rsidR="001F50A9">
        <w:t xml:space="preserve">before tax </w:t>
      </w:r>
      <w:r w:rsidR="00B46D2B">
        <w:t>would</w:t>
      </w:r>
      <w:r>
        <w:t xml:space="preserve"> </w:t>
      </w:r>
      <w:r w:rsidR="004738AB">
        <w:t xml:space="preserve">need to </w:t>
      </w:r>
      <w:r>
        <w:t xml:space="preserve">increase </w:t>
      </w:r>
      <w:r w:rsidR="001F50A9">
        <w:t xml:space="preserve">after income tax </w:t>
      </w:r>
      <w:r>
        <w:t>to 12.3% pa in order to achieve a post-tax return of 10% pa – thus “demonstrating the distortions in company investment decisions imposed” by company income taxation</w:t>
      </w:r>
      <w:r w:rsidR="00071D4F">
        <w:t xml:space="preserve"> </w:t>
      </w:r>
      <w:r w:rsidR="00514A10">
        <w:t xml:space="preserve"> </w:t>
      </w:r>
    </w:p>
    <w:p w14:paraId="07F581E4" w14:textId="77777777" w:rsidR="00561BB7" w:rsidRPr="00AB01E6" w:rsidRDefault="00090314">
      <w:pPr>
        <w:rPr>
          <w:b/>
        </w:rPr>
      </w:pPr>
      <w:r w:rsidRPr="00AB01E6">
        <w:rPr>
          <w:b/>
        </w:rPr>
        <w:lastRenderedPageBreak/>
        <w:t xml:space="preserve">ALTERNATIVE COMPANY TAX DESIGN </w:t>
      </w:r>
      <w:r w:rsidR="00495028" w:rsidRPr="00AB01E6">
        <w:rPr>
          <w:b/>
        </w:rPr>
        <w:t xml:space="preserve">    </w:t>
      </w:r>
    </w:p>
    <w:p w14:paraId="07F581E5" w14:textId="77777777" w:rsidR="001F50A9" w:rsidRDefault="00AB01E6">
      <w:r>
        <w:t xml:space="preserve">The above lengthy, somewhat </w:t>
      </w:r>
      <w:r w:rsidR="00817D27">
        <w:t>tortuous</w:t>
      </w:r>
      <w:r>
        <w:t xml:space="preserve"> discussion might give the impression of support for a company tax system that combines NCT with income taxation</w:t>
      </w:r>
      <w:r w:rsidR="001F50A9">
        <w:t xml:space="preserve"> in </w:t>
      </w:r>
      <w:r w:rsidR="00DA356A">
        <w:t>a way that is consistent with tax-neutral design</w:t>
      </w:r>
      <w:r w:rsidR="00981930">
        <w:t xml:space="preserve"> – one </w:t>
      </w:r>
      <w:r w:rsidR="00DA356A">
        <w:t>which therefore minimises adverse effects on efficiency/productivity</w:t>
      </w:r>
      <w:r w:rsidR="001F50A9">
        <w:t>.</w:t>
      </w:r>
      <w:r w:rsidR="00DA356A">
        <w:t xml:space="preserve"> In practice,</w:t>
      </w:r>
      <w:r w:rsidR="00AB37D5">
        <w:t xml:space="preserve"> if not somehow restricted to </w:t>
      </w:r>
      <w:r w:rsidR="00BB5D24">
        <w:t>‘</w:t>
      </w:r>
      <w:r w:rsidR="00AB37D5">
        <w:t>profitable</w:t>
      </w:r>
      <w:r w:rsidR="00BB5D24">
        <w:t>’</w:t>
      </w:r>
      <w:r w:rsidR="00AB37D5">
        <w:t xml:space="preserve"> companies</w:t>
      </w:r>
      <w:r w:rsidR="00BB5D24">
        <w:t xml:space="preserve"> only</w:t>
      </w:r>
      <w:r w:rsidR="00AB37D5">
        <w:t>,</w:t>
      </w:r>
      <w:r w:rsidR="00DA356A">
        <w:t xml:space="preserve"> such a system would look very different across the spread of companies.</w:t>
      </w:r>
    </w:p>
    <w:p w14:paraId="07F581E6" w14:textId="77777777" w:rsidR="00AB01E6" w:rsidRDefault="00DA356A" w:rsidP="0016206A">
      <w:pPr>
        <w:pStyle w:val="ListParagraph"/>
        <w:numPr>
          <w:ilvl w:val="0"/>
          <w:numId w:val="16"/>
        </w:numPr>
      </w:pPr>
      <w:r>
        <w:t>At one extreme,</w:t>
      </w:r>
      <w:r w:rsidR="001F50A9">
        <w:t xml:space="preserve"> large, profitable</w:t>
      </w:r>
      <w:r w:rsidR="00D02E80">
        <w:t xml:space="preserve"> companies that are</w:t>
      </w:r>
      <w:r w:rsidR="001F50A9">
        <w:t xml:space="preserve"> continually cas</w:t>
      </w:r>
      <w:r w:rsidR="00D02E80">
        <w:t xml:space="preserve">h flow positive, </w:t>
      </w:r>
      <w:r>
        <w:t>would have</w:t>
      </w:r>
      <w:r w:rsidR="00AB01E6">
        <w:t xml:space="preserve"> company income tax </w:t>
      </w:r>
      <w:r>
        <w:t xml:space="preserve">levied </w:t>
      </w:r>
      <w:r w:rsidR="00AB01E6">
        <w:t xml:space="preserve">on post-NCT cash flows </w:t>
      </w:r>
      <w:r w:rsidR="00D02E80">
        <w:t>– with NCT losses that arise temporarily uplifted at after-company tax LTBR</w:t>
      </w:r>
      <w:r w:rsidR="00AB01E6">
        <w:t>.</w:t>
      </w:r>
      <w:r>
        <w:t xml:space="preserve"> Those existing when the NCT is introduced would attract a starting base matching the value</w:t>
      </w:r>
      <w:r w:rsidR="00981930">
        <w:t xml:space="preserve"> of their expected future non-financial cash flows</w:t>
      </w:r>
      <w:r>
        <w:t>.</w:t>
      </w:r>
    </w:p>
    <w:p w14:paraId="07F581E7" w14:textId="77777777" w:rsidR="00DA356A" w:rsidRDefault="00DA356A" w:rsidP="0016206A">
      <w:pPr>
        <w:pStyle w:val="ListParagraph"/>
        <w:numPr>
          <w:ilvl w:val="0"/>
          <w:numId w:val="16"/>
        </w:numPr>
      </w:pPr>
      <w:r>
        <w:t xml:space="preserve">At the other extreme, </w:t>
      </w:r>
      <w:r w:rsidR="0016206A">
        <w:t xml:space="preserve">existing </w:t>
      </w:r>
      <w:r>
        <w:t xml:space="preserve">small companies would </w:t>
      </w:r>
      <w:r w:rsidR="0016206A">
        <w:t xml:space="preserve">still attract a </w:t>
      </w:r>
      <w:r>
        <w:t>starting base</w:t>
      </w:r>
      <w:r w:rsidR="00981930">
        <w:t xml:space="preserve"> equal to </w:t>
      </w:r>
      <w:r w:rsidR="001C21CF">
        <w:t>any expected positive value of future non-financial cash flows</w:t>
      </w:r>
      <w:r w:rsidR="00402CFB">
        <w:t xml:space="preserve">. </w:t>
      </w:r>
      <w:r w:rsidR="00DF3581">
        <w:t>But, s</w:t>
      </w:r>
      <w:r w:rsidR="0016206A">
        <w:t>mall companies generally</w:t>
      </w:r>
      <w:r w:rsidR="00402CFB">
        <w:t xml:space="preserve"> would</w:t>
      </w:r>
      <w:r w:rsidR="0016206A">
        <w:t xml:space="preserve"> </w:t>
      </w:r>
      <w:r w:rsidR="00402CFB">
        <w:t>uplift NCT losses at, say, at least LTBR</w:t>
      </w:r>
      <w:r w:rsidR="0016206A">
        <w:t>.</w:t>
      </w:r>
      <w:r w:rsidR="00402CFB">
        <w:t xml:space="preserve"> </w:t>
      </w:r>
      <w:r w:rsidR="00DF3581">
        <w:t>And, a</w:t>
      </w:r>
      <w:r w:rsidR="00402CFB">
        <w:t>ny NCT that is paid</w:t>
      </w:r>
      <w:r w:rsidR="0016206A">
        <w:t xml:space="preserve"> would be an income tax deduction.</w:t>
      </w:r>
      <w:r w:rsidR="00402CFB">
        <w:t xml:space="preserve">    </w:t>
      </w:r>
      <w:r>
        <w:t xml:space="preserve"> </w:t>
      </w:r>
    </w:p>
    <w:p w14:paraId="07F581E8" w14:textId="77777777" w:rsidR="002376C6" w:rsidRDefault="00AB01E6">
      <w:r>
        <w:t xml:space="preserve">But there is a broader view of efficiency to be taken when considering company tax </w:t>
      </w:r>
      <w:r w:rsidR="00936354">
        <w:t>re</w:t>
      </w:r>
      <w:r>
        <w:t>design.</w:t>
      </w:r>
      <w:r w:rsidR="007B3000">
        <w:t xml:space="preserve"> </w:t>
      </w:r>
    </w:p>
    <w:p w14:paraId="07F581E9" w14:textId="77777777" w:rsidR="002376C6" w:rsidRDefault="00C977B7">
      <w:r>
        <w:t>Despite not being constrained so by the terms of reference, t</w:t>
      </w:r>
      <w:r w:rsidR="002376C6">
        <w:t xml:space="preserve">he </w:t>
      </w:r>
      <w:r>
        <w:t>interim report narrows its discussion to corporate tax design – even though it states that, given “Australia’s personal income tax system is beyond the scope of this inquiry, reforms to the dividend imputation system have not been considered” (p 69)</w:t>
      </w:r>
      <w:r w:rsidR="002376C6">
        <w:t xml:space="preserve">. </w:t>
      </w:r>
    </w:p>
    <w:p w14:paraId="07F581EA" w14:textId="77777777" w:rsidR="00BC2BE5" w:rsidRDefault="00C977B7">
      <w:r>
        <w:t xml:space="preserve">Taking more of a whole-of-system approach </w:t>
      </w:r>
      <w:r w:rsidR="00936354">
        <w:t>would help in framing</w:t>
      </w:r>
      <w:r>
        <w:t xml:space="preserve"> </w:t>
      </w:r>
      <w:r w:rsidR="00466918">
        <w:t xml:space="preserve">possible </w:t>
      </w:r>
      <w:r w:rsidR="00936354">
        <w:t xml:space="preserve">corporate </w:t>
      </w:r>
      <w:r w:rsidR="00466918">
        <w:t xml:space="preserve">tax </w:t>
      </w:r>
      <w:r>
        <w:t>change</w:t>
      </w:r>
      <w:r w:rsidR="00466918">
        <w:t>s</w:t>
      </w:r>
      <w:r w:rsidR="00936354">
        <w:t>.</w:t>
      </w:r>
      <w:r>
        <w:t xml:space="preserve"> </w:t>
      </w:r>
      <w:r w:rsidR="00936354">
        <w:t>J</w:t>
      </w:r>
      <w:r w:rsidR="00466918">
        <w:t xml:space="preserve">ust like the investor </w:t>
      </w:r>
      <w:r w:rsidR="00BC2BE5">
        <w:t xml:space="preserve">in the </w:t>
      </w:r>
      <w:r>
        <w:t xml:space="preserve">neutrality </w:t>
      </w:r>
      <w:r w:rsidR="00BC2BE5">
        <w:t>chart</w:t>
      </w:r>
      <w:r w:rsidR="00466918">
        <w:t xml:space="preserve">, </w:t>
      </w:r>
      <w:r w:rsidR="00BC2BE5">
        <w:t xml:space="preserve">individuals investing in </w:t>
      </w:r>
      <w:r w:rsidR="00466918">
        <w:t xml:space="preserve">a wide range of </w:t>
      </w:r>
      <w:r w:rsidR="00F05A79">
        <w:t>circumstances</w:t>
      </w:r>
      <w:r w:rsidR="00BC2BE5">
        <w:t xml:space="preserve"> </w:t>
      </w:r>
      <w:r w:rsidR="00936354">
        <w:t>currently</w:t>
      </w:r>
      <w:r w:rsidR="00BC2BE5">
        <w:t xml:space="preserve"> face tax at their marginal tax rates on taxable income from their widget investment year by year</w:t>
      </w:r>
      <w:r w:rsidR="00166303">
        <w:t>;</w:t>
      </w:r>
      <w:r w:rsidR="00936354">
        <w:t xml:space="preserve"> for example</w:t>
      </w:r>
      <w:r w:rsidR="00466918">
        <w:t>:</w:t>
      </w:r>
    </w:p>
    <w:p w14:paraId="07F581EB" w14:textId="77777777" w:rsidR="00CC7126" w:rsidRDefault="00CC7126" w:rsidP="004068B8">
      <w:pPr>
        <w:pStyle w:val="ListParagraph"/>
        <w:numPr>
          <w:ilvl w:val="0"/>
          <w:numId w:val="2"/>
        </w:numPr>
      </w:pPr>
      <w:r>
        <w:t>i</w:t>
      </w:r>
      <w:r w:rsidR="000322E0">
        <w:t xml:space="preserve">ndividuals </w:t>
      </w:r>
      <w:r w:rsidR="00DF3581">
        <w:t xml:space="preserve">and sole traders </w:t>
      </w:r>
      <w:r w:rsidR="000322E0">
        <w:t>investing directly</w:t>
      </w:r>
      <w:r>
        <w:t>;</w:t>
      </w:r>
      <w:r w:rsidR="00283E03">
        <w:t xml:space="preserve"> </w:t>
      </w:r>
    </w:p>
    <w:p w14:paraId="07F581EC" w14:textId="77777777" w:rsidR="00CC7126" w:rsidRDefault="00CC7126" w:rsidP="004068B8">
      <w:pPr>
        <w:pStyle w:val="ListParagraph"/>
        <w:numPr>
          <w:ilvl w:val="0"/>
          <w:numId w:val="2"/>
        </w:numPr>
      </w:pPr>
      <w:r>
        <w:t xml:space="preserve">individual unitholders and beneficiaries of many </w:t>
      </w:r>
      <w:r w:rsidR="00283E03">
        <w:t xml:space="preserve">fixed and discretionary </w:t>
      </w:r>
      <w:r w:rsidR="00F05A79">
        <w:t xml:space="preserve">trusts </w:t>
      </w:r>
      <w:r>
        <w:t xml:space="preserve">(trustees encouraged to distribute annually by the prospect of attracting the top personal tax </w:t>
      </w:r>
      <w:r w:rsidR="001C21CF">
        <w:t xml:space="preserve">rate </w:t>
      </w:r>
      <w:r>
        <w:t>on annual trust taxable income);</w:t>
      </w:r>
    </w:p>
    <w:p w14:paraId="07F581ED" w14:textId="77777777" w:rsidR="003F6F48" w:rsidRDefault="003F6F48" w:rsidP="004068B8">
      <w:pPr>
        <w:pStyle w:val="ListParagraph"/>
        <w:numPr>
          <w:ilvl w:val="0"/>
          <w:numId w:val="2"/>
        </w:numPr>
      </w:pPr>
      <w:r>
        <w:t>individual partners who are taxed on their proportional interests in their partnerships;</w:t>
      </w:r>
    </w:p>
    <w:p w14:paraId="07F581EE" w14:textId="77777777" w:rsidR="00D627A1" w:rsidRDefault="00CC7126" w:rsidP="004068B8">
      <w:pPr>
        <w:pStyle w:val="ListParagraph"/>
        <w:numPr>
          <w:ilvl w:val="0"/>
          <w:numId w:val="2"/>
        </w:numPr>
      </w:pPr>
      <w:r>
        <w:t xml:space="preserve">individual shareholders </w:t>
      </w:r>
      <w:r w:rsidR="00D627A1">
        <w:t>who receive distributions of annual taxed income (franked dividends) from their</w:t>
      </w:r>
      <w:r>
        <w:t xml:space="preserve"> large</w:t>
      </w:r>
      <w:r w:rsidR="00936354">
        <w:t>,</w:t>
      </w:r>
      <w:r>
        <w:t xml:space="preserve"> </w:t>
      </w:r>
      <w:r w:rsidR="00756270">
        <w:t xml:space="preserve">dividend-paying </w:t>
      </w:r>
      <w:r>
        <w:t>companies</w:t>
      </w:r>
      <w:r w:rsidR="00917B10">
        <w:t xml:space="preserve"> (</w:t>
      </w:r>
      <w:r w:rsidR="00936354">
        <w:t xml:space="preserve">including </w:t>
      </w:r>
      <w:r w:rsidR="00F05A79">
        <w:t>via dividend reinvestment plans</w:t>
      </w:r>
      <w:r w:rsidR="00917B10">
        <w:t>),</w:t>
      </w:r>
      <w:r w:rsidR="00BA743E">
        <w:t xml:space="preserve"> </w:t>
      </w:r>
      <w:r w:rsidR="00166303">
        <w:t xml:space="preserve">companies that </w:t>
      </w:r>
      <w:r w:rsidR="00BA743E">
        <w:t>recognis</w:t>
      </w:r>
      <w:r w:rsidR="00166303">
        <w:t>e</w:t>
      </w:r>
      <w:r w:rsidR="00BA743E">
        <w:t xml:space="preserve"> their shareholders’ needs with particular reference to those on lower tax rates (an incentive more significant when the company tax rate was aligned with the top personal tax rate for a short period)</w:t>
      </w:r>
      <w:r w:rsidR="00BA743E">
        <w:rPr>
          <w:rStyle w:val="FootnoteReference"/>
        </w:rPr>
        <w:footnoteReference w:id="37"/>
      </w:r>
      <w:r w:rsidR="00D627A1">
        <w:t>;</w:t>
      </w:r>
      <w:r w:rsidR="00DA01BD">
        <w:t xml:space="preserve"> and</w:t>
      </w:r>
    </w:p>
    <w:p w14:paraId="07F581EF" w14:textId="77777777" w:rsidR="00D627A1" w:rsidRDefault="00D627A1" w:rsidP="004068B8">
      <w:pPr>
        <w:pStyle w:val="ListParagraph"/>
        <w:numPr>
          <w:ilvl w:val="0"/>
          <w:numId w:val="2"/>
        </w:numPr>
      </w:pPr>
      <w:r>
        <w:t xml:space="preserve">individual shareholders of </w:t>
      </w:r>
      <w:r w:rsidR="001C21CF">
        <w:t>closely-held</w:t>
      </w:r>
      <w:r>
        <w:t xml:space="preserve"> companies who are paid distributions of annual taxed income in order to pay the costs of their everyday living.</w:t>
      </w:r>
    </w:p>
    <w:p w14:paraId="07F581F0" w14:textId="77777777" w:rsidR="002B76D1" w:rsidRDefault="00DA01BD">
      <w:r>
        <w:lastRenderedPageBreak/>
        <w:t>Consistent with t</w:t>
      </w:r>
      <w:r w:rsidR="00782E71">
        <w:t>h</w:t>
      </w:r>
      <w:r>
        <w:t xml:space="preserve">is, </w:t>
      </w:r>
      <w:r w:rsidR="00D627A1">
        <w:t xml:space="preserve">the </w:t>
      </w:r>
      <w:r>
        <w:t xml:space="preserve">neutrality </w:t>
      </w:r>
      <w:r w:rsidR="00D627A1">
        <w:t xml:space="preserve">chart </w:t>
      </w:r>
      <w:r>
        <w:t xml:space="preserve">provides a </w:t>
      </w:r>
      <w:r w:rsidR="001C21CF">
        <w:t>clear</w:t>
      </w:r>
      <w:r w:rsidR="00F05A79">
        <w:t xml:space="preserve"> framework for </w:t>
      </w:r>
      <w:r w:rsidR="00936354">
        <w:t>company i</w:t>
      </w:r>
      <w:r>
        <w:t xml:space="preserve">ncome </w:t>
      </w:r>
      <w:r w:rsidR="00D627A1">
        <w:t>tax</w:t>
      </w:r>
      <w:r>
        <w:t xml:space="preserve"> design </w:t>
      </w:r>
      <w:r w:rsidR="00F05A79">
        <w:t xml:space="preserve">which </w:t>
      </w:r>
      <w:r w:rsidR="002B76D1">
        <w:t xml:space="preserve">has annual </w:t>
      </w:r>
      <w:r w:rsidR="00936354">
        <w:t>taxable</w:t>
      </w:r>
      <w:r w:rsidR="002B76D1">
        <w:t xml:space="preserve"> income taxed at the tax rates of individual </w:t>
      </w:r>
      <w:r w:rsidR="00936354">
        <w:t>local shareholders</w:t>
      </w:r>
      <w:r w:rsidR="00D627A1">
        <w:t>.</w:t>
      </w:r>
      <w:r w:rsidR="002B76D1">
        <w:t xml:space="preserve"> </w:t>
      </w:r>
      <w:r w:rsidR="00A9296B">
        <w:t>U</w:t>
      </w:r>
      <w:r w:rsidR="002B76D1">
        <w:t xml:space="preserve">nder our full imputation system, </w:t>
      </w:r>
      <w:r w:rsidR="00A9296B">
        <w:t xml:space="preserve">however, </w:t>
      </w:r>
      <w:r w:rsidR="002B76D1">
        <w:t xml:space="preserve">that outcome can only be </w:t>
      </w:r>
      <w:r w:rsidR="00A9296B">
        <w:t>assured</w:t>
      </w:r>
      <w:r w:rsidR="002B76D1">
        <w:t xml:space="preserve"> if companies immediately distribute annual taxable income. </w:t>
      </w:r>
    </w:p>
    <w:p w14:paraId="07F581F1" w14:textId="77777777" w:rsidR="001C21CF" w:rsidRDefault="00A9296B" w:rsidP="00CF5154">
      <w:pPr>
        <w:pStyle w:val="ListParagraph"/>
        <w:numPr>
          <w:ilvl w:val="0"/>
          <w:numId w:val="19"/>
        </w:numPr>
      </w:pPr>
      <w:r>
        <w:t xml:space="preserve">That is </w:t>
      </w:r>
      <w:r w:rsidR="001C21CF">
        <w:t xml:space="preserve">evidenced by widely-held ‘growth’ companies </w:t>
      </w:r>
      <w:r>
        <w:t xml:space="preserve">often only </w:t>
      </w:r>
      <w:r w:rsidR="001C21CF">
        <w:t xml:space="preserve">distributing low proportions of </w:t>
      </w:r>
      <w:r>
        <w:t xml:space="preserve">annual </w:t>
      </w:r>
      <w:r w:rsidR="001C21CF">
        <w:t>taxed income</w:t>
      </w:r>
      <w:r>
        <w:t xml:space="preserve"> each year</w:t>
      </w:r>
      <w:r w:rsidR="006571FD">
        <w:t xml:space="preserve">. </w:t>
      </w:r>
    </w:p>
    <w:p w14:paraId="07F581F2" w14:textId="77777777" w:rsidR="002C6D5C" w:rsidRDefault="00A9296B" w:rsidP="00CF5154">
      <w:pPr>
        <w:pStyle w:val="ListParagraph"/>
        <w:numPr>
          <w:ilvl w:val="0"/>
          <w:numId w:val="19"/>
        </w:numPr>
      </w:pPr>
      <w:r>
        <w:t>Moreover</w:t>
      </w:r>
      <w:r w:rsidR="001C21CF">
        <w:t>, c</w:t>
      </w:r>
      <w:r w:rsidR="002A07EC">
        <w:t xml:space="preserve">losely-held companies with high income shareholders, have incentive to retain income and distribute </w:t>
      </w:r>
      <w:r w:rsidR="0073314D">
        <w:t>when shareholders face low</w:t>
      </w:r>
      <w:r w:rsidR="00647ADB">
        <w:t>, or zero,</w:t>
      </w:r>
      <w:r w:rsidR="0073314D">
        <w:t xml:space="preserve"> personal tax rates. </w:t>
      </w:r>
      <w:r w:rsidR="001C21CF">
        <w:t xml:space="preserve">Complex company-trust </w:t>
      </w:r>
      <w:r w:rsidR="0073314D">
        <w:t xml:space="preserve">structures may be employed, with </w:t>
      </w:r>
      <w:r w:rsidR="00DA01BD">
        <w:t>‘</w:t>
      </w:r>
      <w:r w:rsidR="0073314D">
        <w:t>bucket</w:t>
      </w:r>
      <w:r w:rsidR="00DA01BD">
        <w:t>’</w:t>
      </w:r>
      <w:r w:rsidR="0073314D">
        <w:t xml:space="preserve"> companies used to store and invest income</w:t>
      </w:r>
      <w:r w:rsidR="001C21CF">
        <w:rPr>
          <w:rStyle w:val="FootnoteReference"/>
        </w:rPr>
        <w:footnoteReference w:id="38"/>
      </w:r>
      <w:r w:rsidR="0073314D">
        <w:t xml:space="preserve"> – with shareholders aspiring at one extreme to achieve zero tax on their stored company </w:t>
      </w:r>
      <w:r w:rsidR="003F34FE">
        <w:t>income</w:t>
      </w:r>
      <w:r w:rsidR="00647ADB">
        <w:t xml:space="preserve"> (taking into account the delays involved)</w:t>
      </w:r>
      <w:r w:rsidR="00166303">
        <w:t>, drawing on refundable imputation credits</w:t>
      </w:r>
      <w:r w:rsidR="0073314D">
        <w:t>.</w:t>
      </w:r>
    </w:p>
    <w:p w14:paraId="07F581F3" w14:textId="77777777" w:rsidR="00A9296B" w:rsidRDefault="003F34FE">
      <w:r>
        <w:t xml:space="preserve">Such </w:t>
      </w:r>
      <w:r w:rsidR="001C21CF">
        <w:t>inequities and variations in timing of franked dividend distributions</w:t>
      </w:r>
      <w:r>
        <w:t xml:space="preserve"> across individual </w:t>
      </w:r>
      <w:r w:rsidR="001C21CF">
        <w:t>shareholders</w:t>
      </w:r>
      <w:r>
        <w:t xml:space="preserve"> </w:t>
      </w:r>
      <w:r w:rsidR="00CF5154">
        <w:t>are</w:t>
      </w:r>
      <w:r>
        <w:t xml:space="preserve"> deviations from the tax-neutral framework reflected in the </w:t>
      </w:r>
      <w:r w:rsidR="00DA01BD">
        <w:t xml:space="preserve">neutrality </w:t>
      </w:r>
      <w:r>
        <w:t>chart</w:t>
      </w:r>
      <w:r w:rsidR="00154D3B">
        <w:t xml:space="preserve">. </w:t>
      </w:r>
      <w:r w:rsidR="00F80AC6">
        <w:t>To reiterate, u</w:t>
      </w:r>
      <w:r w:rsidR="00154D3B">
        <w:t>nder that framework, company income</w:t>
      </w:r>
      <w:r w:rsidR="00936354">
        <w:t xml:space="preserve"> – in practice taxable income – </w:t>
      </w:r>
      <w:r w:rsidR="00154D3B">
        <w:t xml:space="preserve">would be </w:t>
      </w:r>
      <w:r w:rsidR="00936354">
        <w:t>taxed in the year it is earned at</w:t>
      </w:r>
      <w:r w:rsidR="00154D3B">
        <w:t xml:space="preserve"> individual shareholders’ tax rates</w:t>
      </w:r>
      <w:r w:rsidR="00CF5154">
        <w:t xml:space="preserve">. </w:t>
      </w:r>
    </w:p>
    <w:p w14:paraId="07F581F4" w14:textId="77777777" w:rsidR="00A9296B" w:rsidRPr="009E2E7D" w:rsidRDefault="00A9296B" w:rsidP="00A9296B">
      <w:pPr>
        <w:rPr>
          <w:b/>
        </w:rPr>
      </w:pPr>
      <w:r w:rsidRPr="009E2E7D">
        <w:rPr>
          <w:b/>
        </w:rPr>
        <w:t>Integration of taxable income</w:t>
      </w:r>
    </w:p>
    <w:p w14:paraId="07F581F5" w14:textId="77777777" w:rsidR="008F356C" w:rsidRDefault="00154D3B">
      <w:r>
        <w:t>Th</w:t>
      </w:r>
      <w:r w:rsidR="00A9296B">
        <w:t>e</w:t>
      </w:r>
      <w:r>
        <w:t xml:space="preserve"> investment-neutral outcome </w:t>
      </w:r>
      <w:r w:rsidR="00A9296B">
        <w:t xml:space="preserve">of the neutrality chart </w:t>
      </w:r>
      <w:r>
        <w:t>could be achieved by</w:t>
      </w:r>
      <w:r w:rsidR="003F34FE">
        <w:t xml:space="preserve"> upgrading our full imputation system to </w:t>
      </w:r>
      <w:r w:rsidR="003F34FE" w:rsidRPr="00154D3B">
        <w:t>integration of taxable income</w:t>
      </w:r>
      <w:r w:rsidR="003F34FE">
        <w:t>. Integration design for companies has been</w:t>
      </w:r>
      <w:r w:rsidR="008F356C">
        <w:t xml:space="preserve"> lauded or recommended by several past local and overseas </w:t>
      </w:r>
      <w:r w:rsidR="00647ADB">
        <w:t>financial/</w:t>
      </w:r>
      <w:r w:rsidR="008F356C">
        <w:t>tax reviews.</w:t>
      </w:r>
    </w:p>
    <w:p w14:paraId="07F581F6" w14:textId="77777777" w:rsidR="008629D5" w:rsidRDefault="008F356C">
      <w:r>
        <w:t>The Carter Commission, for example, concluded that, “After an exhaustive examination of the alternative methods of taxing corporate income … we have come to the conclusion that … full integration … is without doubt the best system”</w:t>
      </w:r>
      <w:r>
        <w:rPr>
          <w:rStyle w:val="FootnoteReference"/>
        </w:rPr>
        <w:footnoteReference w:id="39"/>
      </w:r>
      <w:r w:rsidR="008629D5">
        <w:t xml:space="preserve">. </w:t>
      </w:r>
      <w:r>
        <w:t xml:space="preserve">The </w:t>
      </w:r>
      <w:r w:rsidR="00DA01BD">
        <w:t>‘</w:t>
      </w:r>
      <w:r>
        <w:t>Asprey review</w:t>
      </w:r>
      <w:r w:rsidR="00DA01BD">
        <w:t>’</w:t>
      </w:r>
      <w:r>
        <w:t xml:space="preserve"> referred to such design as “perhaps the theoretical ideal”</w:t>
      </w:r>
      <w:r>
        <w:rPr>
          <w:rStyle w:val="FootnoteReference"/>
        </w:rPr>
        <w:footnoteReference w:id="40"/>
      </w:r>
      <w:r w:rsidR="008629D5">
        <w:t xml:space="preserve"> but concluded that there were practicalities to resolve. </w:t>
      </w:r>
      <w:r>
        <w:t xml:space="preserve"> The </w:t>
      </w:r>
      <w:r w:rsidR="00DA01BD">
        <w:t>‘</w:t>
      </w:r>
      <w:r>
        <w:t>Campbell</w:t>
      </w:r>
      <w:r w:rsidR="003F34FE">
        <w:t xml:space="preserve"> </w:t>
      </w:r>
      <w:r w:rsidR="009C11AC">
        <w:t>c</w:t>
      </w:r>
      <w:r w:rsidR="008629D5">
        <w:t>ommittee</w:t>
      </w:r>
      <w:r w:rsidR="009C11AC">
        <w:t>’</w:t>
      </w:r>
      <w:r w:rsidR="008629D5">
        <w:rPr>
          <w:rStyle w:val="FootnoteReference"/>
        </w:rPr>
        <w:footnoteReference w:id="41"/>
      </w:r>
      <w:r w:rsidR="008629D5">
        <w:t xml:space="preserve"> recommended it.</w:t>
      </w:r>
    </w:p>
    <w:p w14:paraId="07F581F7" w14:textId="77777777" w:rsidR="0060546B" w:rsidRDefault="008629D5">
      <w:r>
        <w:t xml:space="preserve">Not long after the Campbell </w:t>
      </w:r>
      <w:r w:rsidR="009C11AC">
        <w:t>c</w:t>
      </w:r>
      <w:r>
        <w:t xml:space="preserve">ommittee’s report, </w:t>
      </w:r>
      <w:r w:rsidR="0060546B">
        <w:t>the Australian Government’s 1985 Draft White Paper saw its proposed  move from classical company taxation to full imputation as a potential springboard to integration: “were an imputation system introduced it would provide an appropriate basis for extension to a full integration system were the practical difficulties of that system eventually adequately resolved”</w:t>
      </w:r>
      <w:r w:rsidR="0060546B">
        <w:rPr>
          <w:rStyle w:val="FootnoteReference"/>
        </w:rPr>
        <w:footnoteReference w:id="42"/>
      </w:r>
      <w:r w:rsidR="008D3A7F">
        <w:t xml:space="preserve"> </w:t>
      </w:r>
      <w:r w:rsidR="008D3A7F">
        <w:rPr>
          <w:rStyle w:val="FootnoteReference"/>
        </w:rPr>
        <w:footnoteReference w:id="43"/>
      </w:r>
      <w:r w:rsidR="0073314D">
        <w:t xml:space="preserve"> </w:t>
      </w:r>
    </w:p>
    <w:p w14:paraId="07F581F8" w14:textId="77777777" w:rsidR="00CF5154" w:rsidRDefault="008D3A7F" w:rsidP="003F2E2A">
      <w:r>
        <w:lastRenderedPageBreak/>
        <w:t>Mayo</w:t>
      </w:r>
      <w:r w:rsidR="00BE1854">
        <w:t xml:space="preserve"> </w:t>
      </w:r>
      <w:r>
        <w:t xml:space="preserve">attempts to </w:t>
      </w:r>
      <w:r w:rsidR="00F41A1A">
        <w:t>address</w:t>
      </w:r>
      <w:r>
        <w:t xml:space="preserve"> the practical difficulties</w:t>
      </w:r>
      <w:r w:rsidR="00CF5154">
        <w:t xml:space="preserve"> noted in the Draft White Paper and elsewhere</w:t>
      </w:r>
      <w:r w:rsidR="00CF5154">
        <w:rPr>
          <w:rStyle w:val="FootnoteReference"/>
        </w:rPr>
        <w:t xml:space="preserve"> </w:t>
      </w:r>
      <w:r w:rsidR="005A1D9F">
        <w:rPr>
          <w:rStyle w:val="FootnoteReference"/>
        </w:rPr>
        <w:footnoteReference w:id="44"/>
      </w:r>
      <w:r w:rsidR="005A1D9F">
        <w:t xml:space="preserve"> </w:t>
      </w:r>
      <w:r w:rsidR="005A1D9F">
        <w:rPr>
          <w:rStyle w:val="FootnoteReference"/>
        </w:rPr>
        <w:footnoteReference w:id="45"/>
      </w:r>
      <w:r w:rsidR="00F41A1A">
        <w:t xml:space="preserve"> and points out that Australia is in unique position to contemplate such a move because of its:</w:t>
      </w:r>
      <w:r w:rsidR="003F2E2A">
        <w:t xml:space="preserve"> (1) </w:t>
      </w:r>
      <w:r w:rsidR="000C4FEC">
        <w:t xml:space="preserve">long successful experience operating dividend imputation; </w:t>
      </w:r>
      <w:r w:rsidR="003F2E2A">
        <w:t xml:space="preserve">(2) </w:t>
      </w:r>
      <w:r w:rsidR="000C4FEC">
        <w:t>across-the board CGT regime;</w:t>
      </w:r>
      <w:r w:rsidR="003F2E2A">
        <w:t xml:space="preserve"> (3) </w:t>
      </w:r>
      <w:r w:rsidR="000C4FEC">
        <w:t>refundable imputation credits; and,</w:t>
      </w:r>
      <w:r w:rsidR="003F2E2A">
        <w:t xml:space="preserve"> (4) </w:t>
      </w:r>
      <w:r w:rsidR="00D2455E">
        <w:t xml:space="preserve">regime for </w:t>
      </w:r>
      <w:r w:rsidR="000C4FEC">
        <w:t>attribution managed investment trusts (AMIT), which has many similar features to integration design</w:t>
      </w:r>
      <w:r w:rsidR="000C4FEC">
        <w:rPr>
          <w:rStyle w:val="FootnoteReference"/>
        </w:rPr>
        <w:footnoteReference w:id="46"/>
      </w:r>
      <w:r w:rsidR="000C4FEC">
        <w:t xml:space="preserve">. </w:t>
      </w:r>
    </w:p>
    <w:p w14:paraId="07F581F9" w14:textId="77777777" w:rsidR="002E0D14" w:rsidRDefault="000C4FEC">
      <w:r>
        <w:t xml:space="preserve">Mayo also </w:t>
      </w:r>
      <w:r w:rsidR="008D3A7F">
        <w:t xml:space="preserve">notes how, under integration design, the </w:t>
      </w:r>
      <w:r>
        <w:t xml:space="preserve">single </w:t>
      </w:r>
      <w:r w:rsidR="008D3A7F">
        <w:t xml:space="preserve">company tax rate would be set on the basis of how much to tax the long-term </w:t>
      </w:r>
      <w:r w:rsidR="00166303">
        <w:t xml:space="preserve">inwards </w:t>
      </w:r>
      <w:r w:rsidR="008D3A7F">
        <w:t>foreign equity investor</w:t>
      </w:r>
      <w:r w:rsidR="00D2455E">
        <w:rPr>
          <w:rStyle w:val="FootnoteReference"/>
        </w:rPr>
        <w:footnoteReference w:id="47"/>
      </w:r>
      <w:r w:rsidR="008D3A7F">
        <w:t xml:space="preserve"> – with likely significant tax reven</w:t>
      </w:r>
      <w:r w:rsidR="002E0D14">
        <w:t xml:space="preserve">ue savings from </w:t>
      </w:r>
      <w:r>
        <w:t xml:space="preserve">a move to integration </w:t>
      </w:r>
      <w:r w:rsidR="002E0D14">
        <w:t>able to be applied to such reductions.</w:t>
      </w:r>
    </w:p>
    <w:p w14:paraId="07F581FA" w14:textId="77777777" w:rsidR="00511DD6" w:rsidRDefault="00154D3B">
      <w:r>
        <w:t xml:space="preserve">Under integration, </w:t>
      </w:r>
      <w:r w:rsidR="00B866E2">
        <w:t xml:space="preserve">having annual company taxable income taxed at </w:t>
      </w:r>
      <w:r w:rsidR="00F80AC6">
        <w:t xml:space="preserve">local </w:t>
      </w:r>
      <w:r w:rsidR="00B866E2">
        <w:t>shareholders rates</w:t>
      </w:r>
      <w:r w:rsidR="00511DD6">
        <w:t xml:space="preserve"> is always achieved: when </w:t>
      </w:r>
      <w:r w:rsidR="00B866E2">
        <w:t xml:space="preserve">annual </w:t>
      </w:r>
      <w:r w:rsidR="0052310C">
        <w:t xml:space="preserve">taxable income is </w:t>
      </w:r>
      <w:r w:rsidR="00511DD6">
        <w:t>actually distributed</w:t>
      </w:r>
      <w:r w:rsidR="00CF5154">
        <w:t>,</w:t>
      </w:r>
      <w:r w:rsidR="00511DD6">
        <w:t xml:space="preserve"> outcomes align with </w:t>
      </w:r>
      <w:r w:rsidR="00D63B23">
        <w:t xml:space="preserve"> those of </w:t>
      </w:r>
      <w:r w:rsidR="00511DD6">
        <w:t xml:space="preserve">imputation design; when </w:t>
      </w:r>
      <w:r w:rsidR="0052310C">
        <w:t xml:space="preserve">taxed income is </w:t>
      </w:r>
      <w:r w:rsidR="00511DD6">
        <w:t>retained, the outcome</w:t>
      </w:r>
      <w:r w:rsidR="00D63B23">
        <w:t>s</w:t>
      </w:r>
      <w:r w:rsidR="00511DD6">
        <w:t xml:space="preserve"> align with dividend reinvestment plans now where the income is still held by the company for investment purposes. </w:t>
      </w:r>
    </w:p>
    <w:p w14:paraId="07F581FB" w14:textId="77777777" w:rsidR="00B15408" w:rsidRDefault="0052310C">
      <w:r>
        <w:t xml:space="preserve">Thus, outcomes under </w:t>
      </w:r>
      <w:r w:rsidR="00B15408">
        <w:t xml:space="preserve">integration align well with </w:t>
      </w:r>
      <w:r>
        <w:t xml:space="preserve">those of individual </w:t>
      </w:r>
      <w:r w:rsidR="00B15408">
        <w:t>direct investors and trust</w:t>
      </w:r>
      <w:r>
        <w:t xml:space="preserve"> unitholders/beneficiaries</w:t>
      </w:r>
      <w:r w:rsidR="00B15408">
        <w:t>s. Under integration, the decision of business</w:t>
      </w:r>
      <w:r>
        <w:t xml:space="preserve"> owners</w:t>
      </w:r>
      <w:r w:rsidR="00B15408">
        <w:t xml:space="preserve"> whether to incorporate would be </w:t>
      </w:r>
      <w:r w:rsidR="00001A49">
        <w:t>made</w:t>
      </w:r>
      <w:r w:rsidR="00B15408">
        <w:t xml:space="preserve"> </w:t>
      </w:r>
      <w:r w:rsidR="00001A49">
        <w:t>for</w:t>
      </w:r>
      <w:r w:rsidR="00B15408">
        <w:t xml:space="preserve"> non-tax reasons</w:t>
      </w:r>
      <w:r w:rsidR="00DB17F3">
        <w:t>, rather than tax advantage.</w:t>
      </w:r>
      <w:r w:rsidR="00B15408">
        <w:t xml:space="preserve"> </w:t>
      </w:r>
    </w:p>
    <w:p w14:paraId="07F581FC" w14:textId="77777777" w:rsidR="00B866E2" w:rsidRDefault="00B866E2">
      <w:r>
        <w:t>In contrast, the interim report seeks design that encourages retention with the applicable company tax rate applying to company taxable income until it is ultimately distributed.</w:t>
      </w:r>
    </w:p>
    <w:p w14:paraId="07F581FD" w14:textId="77777777" w:rsidR="002B76D1" w:rsidRDefault="00B15408">
      <w:r>
        <w:t>What integration and the interim report have in common</w:t>
      </w:r>
      <w:r w:rsidR="00001A49">
        <w:t xml:space="preserve"> </w:t>
      </w:r>
      <w:r>
        <w:t xml:space="preserve">is </w:t>
      </w:r>
      <w:r w:rsidR="00DF33C5">
        <w:t>a</w:t>
      </w:r>
      <w:r>
        <w:t xml:space="preserve"> path towards reduced company tax rates – though with </w:t>
      </w:r>
      <w:r w:rsidR="00963D51">
        <w:t xml:space="preserve">the </w:t>
      </w:r>
      <w:r>
        <w:t>interim report having two rate</w:t>
      </w:r>
      <w:r w:rsidR="00DF33C5">
        <w:t>s</w:t>
      </w:r>
      <w:r>
        <w:t xml:space="preserve"> and integration only one</w:t>
      </w:r>
      <w:r w:rsidR="002E0D14">
        <w:t>.</w:t>
      </w:r>
      <w:r w:rsidR="008D3A7F">
        <w:t xml:space="preserve"> </w:t>
      </w:r>
      <w:r w:rsidR="0060546B">
        <w:t xml:space="preserve"> </w:t>
      </w:r>
      <w:r w:rsidR="0073314D">
        <w:t xml:space="preserve">  </w:t>
      </w:r>
      <w:r w:rsidR="002A07EC">
        <w:t xml:space="preserve"> </w:t>
      </w:r>
      <w:r w:rsidR="002B76D1">
        <w:t xml:space="preserve">  </w:t>
      </w:r>
      <w:r w:rsidR="00D627A1">
        <w:t xml:space="preserve"> </w:t>
      </w:r>
    </w:p>
    <w:p w14:paraId="07F581FE" w14:textId="77777777" w:rsidR="00F75D10" w:rsidRDefault="006D4337">
      <w:r>
        <w:t xml:space="preserve">Against that potted background on integration, </w:t>
      </w:r>
      <w:r w:rsidR="00963D51">
        <w:t>T</w:t>
      </w:r>
      <w:r>
        <w:t>able</w:t>
      </w:r>
      <w:r w:rsidR="00963D51">
        <w:t xml:space="preserve"> 3</w:t>
      </w:r>
      <w:r>
        <w:t xml:space="preserve"> </w:t>
      </w:r>
      <w:r w:rsidR="00963D51">
        <w:t>makes a broad</w:t>
      </w:r>
      <w:r>
        <w:t xml:space="preserve"> compar</w:t>
      </w:r>
      <w:r w:rsidR="00963D51">
        <w:t>ison of</w:t>
      </w:r>
      <w:r>
        <w:t xml:space="preserve"> the interim report’s proposals </w:t>
      </w:r>
      <w:r w:rsidR="00166303">
        <w:t>and</w:t>
      </w:r>
      <w:r>
        <w:t xml:space="preserve"> integration of taxable income</w:t>
      </w:r>
      <w:r w:rsidR="00963D51">
        <w:t>. In the background of this comparison are</w:t>
      </w:r>
      <w:r>
        <w:t xml:space="preserve"> the tax principles of efficiency (</w:t>
      </w:r>
      <w:r w:rsidR="008E32E0">
        <w:t xml:space="preserve">or </w:t>
      </w:r>
      <w:r>
        <w:t>tax neutrality</w:t>
      </w:r>
      <w:r w:rsidR="00DF33C5">
        <w:t>,</w:t>
      </w:r>
      <w:r>
        <w:t xml:space="preserve"> which often </w:t>
      </w:r>
      <w:r w:rsidR="00A00848">
        <w:t>goes hand in hand with fairness) and simplicity.</w:t>
      </w:r>
      <w:r>
        <w:t xml:space="preserve"> </w:t>
      </w:r>
    </w:p>
    <w:p w14:paraId="07F581FF" w14:textId="77777777" w:rsidR="00196EE4" w:rsidRPr="000A7173" w:rsidRDefault="00196EE4" w:rsidP="00196EE4">
      <w:pPr>
        <w:spacing w:after="0"/>
        <w:rPr>
          <w:b/>
        </w:rPr>
      </w:pPr>
      <w:r w:rsidRPr="000A7173">
        <w:rPr>
          <w:b/>
        </w:rPr>
        <w:t xml:space="preserve">TABLE </w:t>
      </w:r>
      <w:r>
        <w:rPr>
          <w:b/>
        </w:rPr>
        <w:t>3</w:t>
      </w:r>
    </w:p>
    <w:p w14:paraId="07F58200" w14:textId="77777777" w:rsidR="00196EE4" w:rsidRDefault="00196EE4" w:rsidP="00196EE4">
      <w:pPr>
        <w:spacing w:after="0"/>
      </w:pPr>
      <w:r>
        <w:t xml:space="preserve">Comparison of interim report’s proposed redesign and alternative integration of taxable income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3402"/>
        <w:gridCol w:w="3503"/>
      </w:tblGrid>
      <w:tr w:rsidR="00196EE4" w14:paraId="07F58204" w14:textId="77777777" w:rsidTr="005B3C79">
        <w:trPr>
          <w:trHeight w:val="977"/>
          <w:jc w:val="center"/>
        </w:trPr>
        <w:tc>
          <w:tcPr>
            <w:tcW w:w="2134" w:type="dxa"/>
            <w:shd w:val="clear" w:color="auto" w:fill="F2F2F2"/>
            <w:vAlign w:val="center"/>
          </w:tcPr>
          <w:p w14:paraId="07F58201" w14:textId="77777777" w:rsidR="00196EE4" w:rsidRPr="003B3046" w:rsidRDefault="00196EE4" w:rsidP="00DF33C5">
            <w:pPr>
              <w:spacing w:after="0"/>
              <w:jc w:val="center"/>
              <w:rPr>
                <w:b/>
              </w:rPr>
            </w:pPr>
            <w:r>
              <w:rPr>
                <w:b/>
              </w:rPr>
              <w:t>Issue</w:t>
            </w:r>
          </w:p>
        </w:tc>
        <w:tc>
          <w:tcPr>
            <w:tcW w:w="3402" w:type="dxa"/>
            <w:tcBorders>
              <w:bottom w:val="single" w:sz="4" w:space="0" w:color="auto"/>
            </w:tcBorders>
            <w:shd w:val="clear" w:color="auto" w:fill="F2F2F2"/>
          </w:tcPr>
          <w:p w14:paraId="07F58202" w14:textId="77777777" w:rsidR="00196EE4" w:rsidRPr="003B3046" w:rsidRDefault="00196EE4" w:rsidP="00EA2363">
            <w:pPr>
              <w:spacing w:after="0"/>
              <w:jc w:val="center"/>
              <w:rPr>
                <w:b/>
              </w:rPr>
            </w:pPr>
            <w:r>
              <w:rPr>
                <w:b/>
              </w:rPr>
              <w:t xml:space="preserve">Interim report’s corporate NCT </w:t>
            </w:r>
            <w:r w:rsidR="00EA2363">
              <w:rPr>
                <w:b/>
              </w:rPr>
              <w:t>plus</w:t>
            </w:r>
            <w:r>
              <w:rPr>
                <w:b/>
              </w:rPr>
              <w:t xml:space="preserve"> income taxation</w:t>
            </w:r>
            <w:r w:rsidRPr="003B3046">
              <w:rPr>
                <w:b/>
              </w:rPr>
              <w:t xml:space="preserve"> </w:t>
            </w:r>
            <w:r>
              <w:rPr>
                <w:b/>
              </w:rPr>
              <w:t xml:space="preserve"> </w:t>
            </w:r>
          </w:p>
        </w:tc>
        <w:tc>
          <w:tcPr>
            <w:tcW w:w="3503" w:type="dxa"/>
            <w:shd w:val="clear" w:color="auto" w:fill="F2F2F2"/>
          </w:tcPr>
          <w:p w14:paraId="07F58203" w14:textId="77777777" w:rsidR="00196EE4" w:rsidRPr="003B3046" w:rsidRDefault="00196EE4" w:rsidP="005B3C79">
            <w:pPr>
              <w:spacing w:after="0"/>
              <w:jc w:val="center"/>
              <w:rPr>
                <w:b/>
              </w:rPr>
            </w:pPr>
            <w:r>
              <w:rPr>
                <w:b/>
              </w:rPr>
              <w:t>Alternative corporate design: integration of taxable income</w:t>
            </w:r>
          </w:p>
        </w:tc>
      </w:tr>
      <w:tr w:rsidR="00196EE4" w14:paraId="07F58208" w14:textId="77777777" w:rsidTr="005B3C79">
        <w:trPr>
          <w:jc w:val="center"/>
        </w:trPr>
        <w:tc>
          <w:tcPr>
            <w:tcW w:w="2134" w:type="dxa"/>
            <w:shd w:val="clear" w:color="auto" w:fill="F2F2F2" w:themeFill="background1" w:themeFillShade="F2"/>
            <w:vAlign w:val="center"/>
          </w:tcPr>
          <w:p w14:paraId="07F58205" w14:textId="77777777" w:rsidR="00196EE4" w:rsidRPr="003B3046" w:rsidRDefault="00C44764" w:rsidP="00C46715">
            <w:pPr>
              <w:spacing w:after="0"/>
              <w:jc w:val="center"/>
              <w:rPr>
                <w:b/>
              </w:rPr>
            </w:pPr>
            <w:r>
              <w:rPr>
                <w:b/>
              </w:rPr>
              <w:t>Objective</w:t>
            </w:r>
          </w:p>
        </w:tc>
        <w:tc>
          <w:tcPr>
            <w:tcW w:w="3402" w:type="dxa"/>
            <w:shd w:val="clear" w:color="auto" w:fill="FFFFFF" w:themeFill="background1"/>
            <w:vAlign w:val="center"/>
          </w:tcPr>
          <w:p w14:paraId="07F58206" w14:textId="77777777" w:rsidR="00196EE4" w:rsidRDefault="00001A49" w:rsidP="00714DBF">
            <w:pPr>
              <w:jc w:val="center"/>
              <w:rPr>
                <w:rFonts w:ascii="Calibri" w:hAnsi="Calibri" w:cs="Calibri"/>
                <w:color w:val="000000"/>
              </w:rPr>
            </w:pPr>
            <w:r>
              <w:rPr>
                <w:rFonts w:ascii="Calibri" w:hAnsi="Calibri" w:cs="Calibri"/>
                <w:color w:val="000000"/>
              </w:rPr>
              <w:t>Strong focus</w:t>
            </w:r>
            <w:r w:rsidR="00714DBF">
              <w:rPr>
                <w:rFonts w:ascii="Calibri" w:hAnsi="Calibri" w:cs="Calibri"/>
                <w:color w:val="000000"/>
              </w:rPr>
              <w:t xml:space="preserve"> on i</w:t>
            </w:r>
            <w:r w:rsidR="00C44764">
              <w:rPr>
                <w:rFonts w:ascii="Calibri" w:hAnsi="Calibri" w:cs="Calibri"/>
                <w:color w:val="000000"/>
              </w:rPr>
              <w:t>ncreas</w:t>
            </w:r>
            <w:r w:rsidR="00714DBF">
              <w:rPr>
                <w:rFonts w:ascii="Calibri" w:hAnsi="Calibri" w:cs="Calibri"/>
                <w:color w:val="000000"/>
              </w:rPr>
              <w:t>ing</w:t>
            </w:r>
            <w:r w:rsidR="00C44764">
              <w:rPr>
                <w:rFonts w:ascii="Calibri" w:hAnsi="Calibri" w:cs="Calibri"/>
                <w:color w:val="000000"/>
              </w:rPr>
              <w:t xml:space="preserve"> investment</w:t>
            </w:r>
          </w:p>
        </w:tc>
        <w:tc>
          <w:tcPr>
            <w:tcW w:w="3503" w:type="dxa"/>
            <w:vAlign w:val="center"/>
          </w:tcPr>
          <w:p w14:paraId="07F58207" w14:textId="77777777" w:rsidR="00196EE4" w:rsidRDefault="00C44764" w:rsidP="00C46715">
            <w:pPr>
              <w:jc w:val="center"/>
              <w:rPr>
                <w:rFonts w:ascii="Calibri" w:hAnsi="Calibri" w:cs="Calibri"/>
                <w:color w:val="000000"/>
              </w:rPr>
            </w:pPr>
            <w:r>
              <w:rPr>
                <w:rFonts w:ascii="Calibri" w:hAnsi="Calibri" w:cs="Calibri"/>
                <w:color w:val="000000"/>
              </w:rPr>
              <w:t>Reduce tax impact across investment decisions</w:t>
            </w:r>
          </w:p>
        </w:tc>
      </w:tr>
      <w:tr w:rsidR="00196EE4" w14:paraId="07F5820C" w14:textId="77777777" w:rsidTr="00AC0743">
        <w:trPr>
          <w:trHeight w:val="1070"/>
          <w:jc w:val="center"/>
        </w:trPr>
        <w:tc>
          <w:tcPr>
            <w:tcW w:w="2134" w:type="dxa"/>
            <w:shd w:val="clear" w:color="auto" w:fill="F2F2F2" w:themeFill="background1" w:themeFillShade="F2"/>
            <w:vAlign w:val="center"/>
          </w:tcPr>
          <w:p w14:paraId="07F58209" w14:textId="77777777" w:rsidR="00196EE4" w:rsidRPr="003B3046" w:rsidRDefault="005B3C79" w:rsidP="00AB4F28">
            <w:pPr>
              <w:spacing w:after="0"/>
              <w:jc w:val="center"/>
              <w:rPr>
                <w:b/>
              </w:rPr>
            </w:pPr>
            <w:r>
              <w:rPr>
                <w:b/>
              </w:rPr>
              <w:lastRenderedPageBreak/>
              <w:t xml:space="preserve">Tax design </w:t>
            </w:r>
            <w:r w:rsidR="00AB4F28">
              <w:rPr>
                <w:b/>
              </w:rPr>
              <w:t>concept</w:t>
            </w:r>
          </w:p>
        </w:tc>
        <w:tc>
          <w:tcPr>
            <w:tcW w:w="3402" w:type="dxa"/>
            <w:shd w:val="clear" w:color="auto" w:fill="FFFFFF" w:themeFill="background1"/>
            <w:vAlign w:val="center"/>
          </w:tcPr>
          <w:p w14:paraId="07F5820A" w14:textId="77777777" w:rsidR="00196EE4" w:rsidRDefault="00C44764" w:rsidP="00D32177">
            <w:pPr>
              <w:jc w:val="center"/>
              <w:rPr>
                <w:rFonts w:ascii="Calibri" w:hAnsi="Calibri" w:cs="Calibri"/>
                <w:color w:val="000000"/>
              </w:rPr>
            </w:pPr>
            <w:r>
              <w:rPr>
                <w:rFonts w:ascii="Calibri" w:hAnsi="Calibri" w:cs="Calibri"/>
                <w:color w:val="000000"/>
              </w:rPr>
              <w:t>Lower</w:t>
            </w:r>
            <w:r w:rsidR="00F80AC6">
              <w:rPr>
                <w:rFonts w:ascii="Calibri" w:hAnsi="Calibri" w:cs="Calibri"/>
                <w:color w:val="000000"/>
              </w:rPr>
              <w:t>/higher</w:t>
            </w:r>
            <w:r>
              <w:rPr>
                <w:rFonts w:ascii="Calibri" w:hAnsi="Calibri" w:cs="Calibri"/>
                <w:color w:val="000000"/>
              </w:rPr>
              <w:t xml:space="preserve"> tax</w:t>
            </w:r>
            <w:r w:rsidR="00F80AC6">
              <w:rPr>
                <w:rFonts w:ascii="Calibri" w:hAnsi="Calibri" w:cs="Calibri"/>
                <w:color w:val="000000"/>
              </w:rPr>
              <w:t>es</w:t>
            </w:r>
            <w:r>
              <w:rPr>
                <w:rFonts w:ascii="Calibri" w:hAnsi="Calibri" w:cs="Calibri"/>
                <w:color w:val="000000"/>
              </w:rPr>
              <w:t xml:space="preserve"> for </w:t>
            </w:r>
            <w:r w:rsidR="00F80AC6">
              <w:rPr>
                <w:rFonts w:ascii="Calibri" w:hAnsi="Calibri" w:cs="Calibri"/>
                <w:color w:val="000000"/>
              </w:rPr>
              <w:t xml:space="preserve">smaller/larger, and </w:t>
            </w:r>
            <w:r w:rsidR="00D32177">
              <w:rPr>
                <w:rFonts w:ascii="Calibri" w:hAnsi="Calibri" w:cs="Calibri"/>
                <w:color w:val="000000"/>
              </w:rPr>
              <w:t>immediate</w:t>
            </w:r>
            <w:r w:rsidR="00F80AC6">
              <w:rPr>
                <w:rFonts w:ascii="Calibri" w:hAnsi="Calibri" w:cs="Calibri"/>
                <w:color w:val="000000"/>
              </w:rPr>
              <w:t xml:space="preserve"> </w:t>
            </w:r>
            <w:r w:rsidR="00D32177">
              <w:rPr>
                <w:rFonts w:ascii="Calibri" w:hAnsi="Calibri" w:cs="Calibri"/>
                <w:color w:val="000000"/>
              </w:rPr>
              <w:t>expensing</w:t>
            </w:r>
            <w:r w:rsidR="00F80AC6">
              <w:rPr>
                <w:rFonts w:ascii="Calibri" w:hAnsi="Calibri" w:cs="Calibri"/>
                <w:color w:val="000000"/>
              </w:rPr>
              <w:t xml:space="preserve"> </w:t>
            </w:r>
            <w:r w:rsidR="00D32177">
              <w:rPr>
                <w:rFonts w:ascii="Calibri" w:hAnsi="Calibri" w:cs="Calibri"/>
                <w:color w:val="000000"/>
              </w:rPr>
              <w:t>under</w:t>
            </w:r>
            <w:r w:rsidR="00F80AC6">
              <w:rPr>
                <w:rFonts w:ascii="Calibri" w:hAnsi="Calibri" w:cs="Calibri"/>
                <w:color w:val="000000"/>
              </w:rPr>
              <w:t xml:space="preserve"> the </w:t>
            </w:r>
            <w:r w:rsidR="00D86639">
              <w:rPr>
                <w:rFonts w:ascii="Calibri" w:hAnsi="Calibri" w:cs="Calibri"/>
                <w:color w:val="000000"/>
              </w:rPr>
              <w:t xml:space="preserve">additional </w:t>
            </w:r>
            <w:r w:rsidR="00F80AC6">
              <w:rPr>
                <w:rFonts w:ascii="Calibri" w:hAnsi="Calibri" w:cs="Calibri"/>
                <w:color w:val="000000"/>
              </w:rPr>
              <w:t>NCT</w:t>
            </w:r>
            <w:r w:rsidR="00C46715">
              <w:rPr>
                <w:rFonts w:ascii="Calibri" w:hAnsi="Calibri" w:cs="Calibri"/>
                <w:color w:val="000000"/>
              </w:rPr>
              <w:t xml:space="preserve"> for all, companies</w:t>
            </w:r>
          </w:p>
        </w:tc>
        <w:tc>
          <w:tcPr>
            <w:tcW w:w="3503" w:type="dxa"/>
            <w:vAlign w:val="center"/>
          </w:tcPr>
          <w:p w14:paraId="07F5820B" w14:textId="77777777" w:rsidR="00196EE4" w:rsidRDefault="00C44764" w:rsidP="00AC0743">
            <w:pPr>
              <w:jc w:val="center"/>
              <w:rPr>
                <w:rFonts w:ascii="Calibri" w:hAnsi="Calibri" w:cs="Calibri"/>
                <w:color w:val="000000"/>
              </w:rPr>
            </w:pPr>
            <w:r>
              <w:rPr>
                <w:rFonts w:ascii="Calibri" w:hAnsi="Calibri" w:cs="Calibri"/>
                <w:color w:val="000000"/>
              </w:rPr>
              <w:t xml:space="preserve">Annual taxable company income taxed at the rates of </w:t>
            </w:r>
            <w:r w:rsidR="00D63B23">
              <w:rPr>
                <w:rFonts w:ascii="Calibri" w:hAnsi="Calibri" w:cs="Calibri"/>
                <w:color w:val="000000"/>
              </w:rPr>
              <w:t xml:space="preserve">local </w:t>
            </w:r>
            <w:r>
              <w:rPr>
                <w:rFonts w:ascii="Calibri" w:hAnsi="Calibri" w:cs="Calibri"/>
                <w:color w:val="000000"/>
              </w:rPr>
              <w:t>individual shareholders</w:t>
            </w:r>
            <w:r w:rsidR="00C46715">
              <w:rPr>
                <w:rFonts w:ascii="Calibri" w:hAnsi="Calibri" w:cs="Calibri"/>
                <w:color w:val="000000"/>
              </w:rPr>
              <w:t xml:space="preserve"> </w:t>
            </w:r>
            <w:r w:rsidR="005B3C79">
              <w:rPr>
                <w:rFonts w:ascii="Calibri" w:hAnsi="Calibri" w:cs="Calibri"/>
                <w:color w:val="000000"/>
              </w:rPr>
              <w:t>(</w:t>
            </w:r>
            <w:r w:rsidR="00C46715">
              <w:rPr>
                <w:rFonts w:ascii="Calibri" w:hAnsi="Calibri" w:cs="Calibri"/>
                <w:color w:val="000000"/>
              </w:rPr>
              <w:t>even when retained</w:t>
            </w:r>
            <w:r w:rsidR="00D63B23">
              <w:rPr>
                <w:rFonts w:ascii="Calibri" w:hAnsi="Calibri" w:cs="Calibri"/>
                <w:color w:val="000000"/>
              </w:rPr>
              <w:t xml:space="preserve"> for investment</w:t>
            </w:r>
            <w:r w:rsidR="00AC0743">
              <w:rPr>
                <w:rFonts w:ascii="Calibri" w:hAnsi="Calibri" w:cs="Calibri"/>
                <w:color w:val="000000"/>
              </w:rPr>
              <w:t>)</w:t>
            </w:r>
            <w:r w:rsidR="00963D51">
              <w:rPr>
                <w:rFonts w:ascii="Calibri" w:hAnsi="Calibri" w:cs="Calibri"/>
                <w:color w:val="000000"/>
              </w:rPr>
              <w:t xml:space="preserve"> </w:t>
            </w:r>
          </w:p>
        </w:tc>
      </w:tr>
      <w:tr w:rsidR="00196EE4" w14:paraId="07F58210" w14:textId="77777777" w:rsidTr="005B3C79">
        <w:trPr>
          <w:jc w:val="center"/>
        </w:trPr>
        <w:tc>
          <w:tcPr>
            <w:tcW w:w="2134" w:type="dxa"/>
            <w:shd w:val="clear" w:color="auto" w:fill="F2F2F2" w:themeFill="background1" w:themeFillShade="F2"/>
            <w:vAlign w:val="center"/>
          </w:tcPr>
          <w:p w14:paraId="07F5820D" w14:textId="77777777" w:rsidR="00196EE4" w:rsidRPr="003B3046" w:rsidRDefault="005B3C79" w:rsidP="005B3C79">
            <w:pPr>
              <w:spacing w:after="0"/>
              <w:jc w:val="center"/>
              <w:rPr>
                <w:b/>
              </w:rPr>
            </w:pPr>
            <w:r>
              <w:rPr>
                <w:b/>
              </w:rPr>
              <w:t>Encourage r</w:t>
            </w:r>
            <w:r w:rsidR="00C46715">
              <w:rPr>
                <w:b/>
              </w:rPr>
              <w:t>etained income</w:t>
            </w:r>
          </w:p>
        </w:tc>
        <w:tc>
          <w:tcPr>
            <w:tcW w:w="3402" w:type="dxa"/>
            <w:shd w:val="clear" w:color="auto" w:fill="FFFFFF" w:themeFill="background1"/>
            <w:vAlign w:val="center"/>
          </w:tcPr>
          <w:p w14:paraId="07F5820E" w14:textId="77777777" w:rsidR="00196EE4" w:rsidRDefault="005B3C79" w:rsidP="00C46715">
            <w:pPr>
              <w:jc w:val="center"/>
              <w:rPr>
                <w:rFonts w:ascii="Calibri" w:hAnsi="Calibri" w:cs="Calibri"/>
                <w:color w:val="000000"/>
              </w:rPr>
            </w:pPr>
            <w:r>
              <w:rPr>
                <w:rFonts w:ascii="Calibri" w:hAnsi="Calibri" w:cs="Calibri"/>
                <w:color w:val="000000"/>
              </w:rPr>
              <w:t>Yes</w:t>
            </w:r>
          </w:p>
        </w:tc>
        <w:tc>
          <w:tcPr>
            <w:tcW w:w="3503" w:type="dxa"/>
            <w:vAlign w:val="center"/>
          </w:tcPr>
          <w:p w14:paraId="07F5820F" w14:textId="77777777" w:rsidR="00196EE4" w:rsidRDefault="00963D51" w:rsidP="00C46715">
            <w:pPr>
              <w:jc w:val="center"/>
              <w:rPr>
                <w:rFonts w:ascii="Calibri" w:hAnsi="Calibri" w:cs="Calibri"/>
                <w:color w:val="000000"/>
              </w:rPr>
            </w:pPr>
            <w:r>
              <w:rPr>
                <w:rFonts w:ascii="Calibri" w:hAnsi="Calibri" w:cs="Calibri"/>
                <w:color w:val="000000"/>
              </w:rPr>
              <w:t>B</w:t>
            </w:r>
            <w:r w:rsidR="00C46715">
              <w:rPr>
                <w:rFonts w:ascii="Calibri" w:hAnsi="Calibri" w:cs="Calibri"/>
                <w:color w:val="000000"/>
              </w:rPr>
              <w:t>alance between funding sources</w:t>
            </w:r>
          </w:p>
        </w:tc>
      </w:tr>
      <w:tr w:rsidR="00196EE4" w14:paraId="07F58214" w14:textId="77777777" w:rsidTr="005B3C79">
        <w:trPr>
          <w:trHeight w:val="716"/>
          <w:jc w:val="center"/>
        </w:trPr>
        <w:tc>
          <w:tcPr>
            <w:tcW w:w="2134" w:type="dxa"/>
            <w:shd w:val="clear" w:color="auto" w:fill="F2F2F2" w:themeFill="background1" w:themeFillShade="F2"/>
            <w:vAlign w:val="center"/>
          </w:tcPr>
          <w:p w14:paraId="07F58211" w14:textId="77777777" w:rsidR="00196EE4" w:rsidRPr="003B3046" w:rsidRDefault="00EA2363" w:rsidP="00EA2363">
            <w:pPr>
              <w:spacing w:after="0"/>
              <w:jc w:val="center"/>
              <w:rPr>
                <w:b/>
              </w:rPr>
            </w:pPr>
            <w:r>
              <w:rPr>
                <w:b/>
              </w:rPr>
              <w:t>Treatment of income across</w:t>
            </w:r>
            <w:r w:rsidR="005B3C79">
              <w:rPr>
                <w:b/>
              </w:rPr>
              <w:t xml:space="preserve"> </w:t>
            </w:r>
            <w:r w:rsidR="006821AB">
              <w:rPr>
                <w:b/>
              </w:rPr>
              <w:t>investment modes</w:t>
            </w:r>
          </w:p>
        </w:tc>
        <w:tc>
          <w:tcPr>
            <w:tcW w:w="3402" w:type="dxa"/>
            <w:shd w:val="clear" w:color="auto" w:fill="FFFFFF" w:themeFill="background1"/>
            <w:vAlign w:val="center"/>
          </w:tcPr>
          <w:p w14:paraId="07F58212" w14:textId="77777777" w:rsidR="00196EE4" w:rsidRDefault="005B3C79" w:rsidP="005B3C79">
            <w:pPr>
              <w:jc w:val="center"/>
              <w:rPr>
                <w:rFonts w:ascii="Calibri" w:hAnsi="Calibri" w:cs="Calibri"/>
                <w:color w:val="000000"/>
              </w:rPr>
            </w:pPr>
            <w:r>
              <w:rPr>
                <w:rFonts w:ascii="Calibri" w:hAnsi="Calibri" w:cs="Calibri"/>
                <w:color w:val="000000"/>
              </w:rPr>
              <w:t>Widens the</w:t>
            </w:r>
            <w:r w:rsidR="006821AB">
              <w:rPr>
                <w:rFonts w:ascii="Calibri" w:hAnsi="Calibri" w:cs="Calibri"/>
                <w:color w:val="000000"/>
              </w:rPr>
              <w:t xml:space="preserve"> difference between compan</w:t>
            </w:r>
            <w:r>
              <w:rPr>
                <w:rFonts w:ascii="Calibri" w:hAnsi="Calibri" w:cs="Calibri"/>
                <w:color w:val="000000"/>
              </w:rPr>
              <w:t>ies and</w:t>
            </w:r>
            <w:r w:rsidR="006821AB">
              <w:rPr>
                <w:rFonts w:ascii="Calibri" w:hAnsi="Calibri" w:cs="Calibri"/>
                <w:color w:val="000000"/>
              </w:rPr>
              <w:t xml:space="preserve"> alternative modes</w:t>
            </w:r>
          </w:p>
        </w:tc>
        <w:tc>
          <w:tcPr>
            <w:tcW w:w="3503" w:type="dxa"/>
            <w:vAlign w:val="center"/>
          </w:tcPr>
          <w:p w14:paraId="07F58213" w14:textId="77777777" w:rsidR="00196EE4" w:rsidRDefault="00CB771F" w:rsidP="00CB771F">
            <w:pPr>
              <w:jc w:val="center"/>
              <w:rPr>
                <w:rFonts w:ascii="Calibri" w:hAnsi="Calibri" w:cs="Calibri"/>
                <w:color w:val="000000"/>
              </w:rPr>
            </w:pPr>
            <w:r>
              <w:rPr>
                <w:rFonts w:ascii="Calibri" w:hAnsi="Calibri" w:cs="Calibri"/>
                <w:color w:val="000000"/>
              </w:rPr>
              <w:t>Furthers b</w:t>
            </w:r>
            <w:r w:rsidR="006821AB">
              <w:rPr>
                <w:rFonts w:ascii="Calibri" w:hAnsi="Calibri" w:cs="Calibri"/>
                <w:color w:val="000000"/>
              </w:rPr>
              <w:t>alance across investment modes</w:t>
            </w:r>
            <w:r>
              <w:rPr>
                <w:rStyle w:val="FootnoteReference"/>
                <w:rFonts w:ascii="Calibri" w:hAnsi="Calibri" w:cs="Calibri"/>
                <w:color w:val="000000"/>
              </w:rPr>
              <w:footnoteReference w:id="48"/>
            </w:r>
          </w:p>
        </w:tc>
      </w:tr>
      <w:tr w:rsidR="00196EE4" w14:paraId="07F58218" w14:textId="77777777" w:rsidTr="005B3C79">
        <w:trPr>
          <w:trHeight w:val="840"/>
          <w:jc w:val="center"/>
        </w:trPr>
        <w:tc>
          <w:tcPr>
            <w:tcW w:w="2134" w:type="dxa"/>
            <w:shd w:val="clear" w:color="auto" w:fill="F2F2F2" w:themeFill="background1" w:themeFillShade="F2"/>
            <w:vAlign w:val="center"/>
          </w:tcPr>
          <w:p w14:paraId="07F58215" w14:textId="77777777" w:rsidR="00196EE4" w:rsidRPr="003B3046" w:rsidRDefault="006821AB" w:rsidP="00C46715">
            <w:pPr>
              <w:spacing w:after="0"/>
              <w:jc w:val="center"/>
              <w:rPr>
                <w:b/>
              </w:rPr>
            </w:pPr>
            <w:r>
              <w:rPr>
                <w:b/>
              </w:rPr>
              <w:t>Design complexity</w:t>
            </w:r>
          </w:p>
        </w:tc>
        <w:tc>
          <w:tcPr>
            <w:tcW w:w="3402" w:type="dxa"/>
            <w:shd w:val="clear" w:color="auto" w:fill="FFFFFF" w:themeFill="background1"/>
            <w:vAlign w:val="center"/>
          </w:tcPr>
          <w:p w14:paraId="07F58216" w14:textId="77777777" w:rsidR="00196EE4" w:rsidRDefault="005B3C79" w:rsidP="00AC0743">
            <w:pPr>
              <w:jc w:val="center"/>
              <w:rPr>
                <w:rFonts w:ascii="Calibri" w:hAnsi="Calibri" w:cs="Calibri"/>
                <w:color w:val="000000"/>
              </w:rPr>
            </w:pPr>
            <w:r>
              <w:rPr>
                <w:rFonts w:ascii="Calibri" w:hAnsi="Calibri" w:cs="Calibri"/>
                <w:color w:val="000000"/>
              </w:rPr>
              <w:t xml:space="preserve">Draws on unchanged corporate data – but </w:t>
            </w:r>
            <w:r w:rsidR="00A3362B">
              <w:rPr>
                <w:rFonts w:ascii="Calibri" w:hAnsi="Calibri" w:cs="Calibri"/>
                <w:color w:val="000000"/>
              </w:rPr>
              <w:t>extra deductions to offset</w:t>
            </w:r>
            <w:r>
              <w:rPr>
                <w:rFonts w:ascii="Calibri" w:hAnsi="Calibri" w:cs="Calibri"/>
                <w:color w:val="000000"/>
              </w:rPr>
              <w:t xml:space="preserve"> </w:t>
            </w:r>
            <w:r w:rsidR="00AB4F28">
              <w:rPr>
                <w:rFonts w:ascii="Calibri" w:hAnsi="Calibri" w:cs="Calibri"/>
                <w:color w:val="000000"/>
              </w:rPr>
              <w:t xml:space="preserve">the </w:t>
            </w:r>
            <w:r>
              <w:rPr>
                <w:rFonts w:ascii="Calibri" w:hAnsi="Calibri" w:cs="Calibri"/>
                <w:color w:val="000000"/>
              </w:rPr>
              <w:t>capital levy</w:t>
            </w:r>
            <w:r w:rsidR="00AB4F28">
              <w:rPr>
                <w:rFonts w:ascii="Calibri" w:hAnsi="Calibri" w:cs="Calibri"/>
                <w:color w:val="000000"/>
              </w:rPr>
              <w:t xml:space="preserve"> effect</w:t>
            </w:r>
            <w:r>
              <w:rPr>
                <w:rFonts w:ascii="Calibri" w:hAnsi="Calibri" w:cs="Calibri"/>
                <w:color w:val="000000"/>
              </w:rPr>
              <w:t xml:space="preserve"> a complication</w:t>
            </w:r>
            <w:r w:rsidR="00DB17F3">
              <w:rPr>
                <w:rFonts w:ascii="Calibri" w:hAnsi="Calibri" w:cs="Calibri"/>
                <w:color w:val="000000"/>
              </w:rPr>
              <w:t xml:space="preserve"> (other issues, too</w:t>
            </w:r>
            <w:r w:rsidR="00DB17F3">
              <w:rPr>
                <w:rStyle w:val="FootnoteReference"/>
                <w:rFonts w:ascii="Calibri" w:hAnsi="Calibri" w:cs="Calibri"/>
                <w:color w:val="000000"/>
              </w:rPr>
              <w:footnoteReference w:id="49"/>
            </w:r>
            <w:r w:rsidR="00AC0743">
              <w:rPr>
                <w:rFonts w:ascii="Calibri" w:hAnsi="Calibri" w:cs="Calibri"/>
                <w:color w:val="000000"/>
              </w:rPr>
              <w:t>)</w:t>
            </w:r>
            <w:r w:rsidR="00700DD8">
              <w:rPr>
                <w:rFonts w:ascii="Calibri" w:hAnsi="Calibri" w:cs="Calibri"/>
                <w:color w:val="000000"/>
              </w:rPr>
              <w:t xml:space="preserve"> </w:t>
            </w:r>
          </w:p>
        </w:tc>
        <w:tc>
          <w:tcPr>
            <w:tcW w:w="3503" w:type="dxa"/>
            <w:vAlign w:val="center"/>
          </w:tcPr>
          <w:p w14:paraId="07F58217" w14:textId="77777777" w:rsidR="00196EE4" w:rsidRDefault="00AB37D5" w:rsidP="00AB37D5">
            <w:pPr>
              <w:jc w:val="center"/>
              <w:rPr>
                <w:rFonts w:ascii="Calibri" w:hAnsi="Calibri" w:cs="Calibri"/>
                <w:color w:val="000000"/>
              </w:rPr>
            </w:pPr>
            <w:r>
              <w:rPr>
                <w:rFonts w:ascii="Calibri" w:hAnsi="Calibri" w:cs="Calibri"/>
                <w:color w:val="000000"/>
              </w:rPr>
              <w:t>Treatment of</w:t>
            </w:r>
            <w:r w:rsidR="00AB4F28">
              <w:rPr>
                <w:rFonts w:ascii="Calibri" w:hAnsi="Calibri" w:cs="Calibri"/>
                <w:color w:val="000000"/>
              </w:rPr>
              <w:t xml:space="preserve"> multiple share classes</w:t>
            </w:r>
            <w:r>
              <w:rPr>
                <w:rFonts w:ascii="Calibri" w:hAnsi="Calibri" w:cs="Calibri"/>
                <w:color w:val="000000"/>
              </w:rPr>
              <w:t>, in particular, to be finalised</w:t>
            </w:r>
            <w:r w:rsidR="00AB4F28">
              <w:rPr>
                <w:rFonts w:ascii="Calibri" w:hAnsi="Calibri" w:cs="Calibri"/>
                <w:color w:val="000000"/>
              </w:rPr>
              <w:t xml:space="preserve"> – but current AMIT regime closely aligned</w:t>
            </w:r>
            <w:r w:rsidR="00700DD8">
              <w:rPr>
                <w:rFonts w:ascii="Calibri" w:hAnsi="Calibri" w:cs="Calibri"/>
                <w:color w:val="000000"/>
              </w:rPr>
              <w:t xml:space="preserve"> </w:t>
            </w:r>
          </w:p>
        </w:tc>
      </w:tr>
      <w:tr w:rsidR="00D86639" w14:paraId="07F5821C" w14:textId="77777777" w:rsidTr="005B3C79">
        <w:trPr>
          <w:trHeight w:val="980"/>
          <w:jc w:val="center"/>
        </w:trPr>
        <w:tc>
          <w:tcPr>
            <w:tcW w:w="2134" w:type="dxa"/>
            <w:tcBorders>
              <w:bottom w:val="single" w:sz="4" w:space="0" w:color="auto"/>
            </w:tcBorders>
            <w:shd w:val="clear" w:color="auto" w:fill="F2F2F2" w:themeFill="background1" w:themeFillShade="F2"/>
            <w:vAlign w:val="center"/>
          </w:tcPr>
          <w:p w14:paraId="07F58219" w14:textId="77777777" w:rsidR="00D86639" w:rsidRDefault="00D86639" w:rsidP="00C46715">
            <w:pPr>
              <w:spacing w:after="0"/>
              <w:jc w:val="center"/>
              <w:rPr>
                <w:b/>
              </w:rPr>
            </w:pPr>
            <w:r>
              <w:rPr>
                <w:b/>
              </w:rPr>
              <w:t>Tax-neutrality features</w:t>
            </w:r>
          </w:p>
        </w:tc>
        <w:tc>
          <w:tcPr>
            <w:tcW w:w="3402" w:type="dxa"/>
            <w:tcBorders>
              <w:bottom w:val="single" w:sz="4" w:space="0" w:color="auto"/>
            </w:tcBorders>
            <w:shd w:val="clear" w:color="auto" w:fill="FFFFFF" w:themeFill="background1"/>
            <w:vAlign w:val="center"/>
          </w:tcPr>
          <w:p w14:paraId="07F5821A" w14:textId="77777777" w:rsidR="00D86639" w:rsidRDefault="00D86639" w:rsidP="00166303">
            <w:pPr>
              <w:jc w:val="center"/>
              <w:rPr>
                <w:rFonts w:ascii="Calibri" w:hAnsi="Calibri" w:cs="Calibri"/>
                <w:color w:val="000000"/>
              </w:rPr>
            </w:pPr>
            <w:r>
              <w:rPr>
                <w:rFonts w:ascii="Calibri" w:hAnsi="Calibri" w:cs="Calibri"/>
                <w:color w:val="000000"/>
              </w:rPr>
              <w:t xml:space="preserve">NCT tax-neutral in isolation – but not when simply added </w:t>
            </w:r>
            <w:r w:rsidR="00166303">
              <w:rPr>
                <w:rFonts w:ascii="Calibri" w:hAnsi="Calibri" w:cs="Calibri"/>
                <w:color w:val="000000"/>
              </w:rPr>
              <w:t>on top of</w:t>
            </w:r>
            <w:r>
              <w:rPr>
                <w:rFonts w:ascii="Calibri" w:hAnsi="Calibri" w:cs="Calibri"/>
                <w:color w:val="000000"/>
              </w:rPr>
              <w:t xml:space="preserve"> company income tax</w:t>
            </w:r>
          </w:p>
        </w:tc>
        <w:tc>
          <w:tcPr>
            <w:tcW w:w="3503" w:type="dxa"/>
            <w:tcBorders>
              <w:bottom w:val="single" w:sz="4" w:space="0" w:color="auto"/>
            </w:tcBorders>
            <w:vAlign w:val="center"/>
          </w:tcPr>
          <w:p w14:paraId="07F5821B" w14:textId="77777777" w:rsidR="00D86639" w:rsidRDefault="00D86639" w:rsidP="00D86639">
            <w:pPr>
              <w:jc w:val="center"/>
              <w:rPr>
                <w:rFonts w:ascii="Calibri" w:hAnsi="Calibri" w:cs="Calibri"/>
                <w:color w:val="000000"/>
              </w:rPr>
            </w:pPr>
            <w:r>
              <w:rPr>
                <w:rFonts w:ascii="Calibri" w:hAnsi="Calibri" w:cs="Calibri"/>
                <w:color w:val="000000"/>
              </w:rPr>
              <w:t xml:space="preserve">Bolsters tax-neutrality of income tax system  </w:t>
            </w:r>
          </w:p>
        </w:tc>
      </w:tr>
      <w:tr w:rsidR="00196EE4" w14:paraId="07F58220" w14:textId="77777777" w:rsidTr="005B3C79">
        <w:trPr>
          <w:trHeight w:val="980"/>
          <w:jc w:val="center"/>
        </w:trPr>
        <w:tc>
          <w:tcPr>
            <w:tcW w:w="2134" w:type="dxa"/>
            <w:tcBorders>
              <w:bottom w:val="single" w:sz="4" w:space="0" w:color="auto"/>
            </w:tcBorders>
            <w:shd w:val="clear" w:color="auto" w:fill="F2F2F2" w:themeFill="background1" w:themeFillShade="F2"/>
            <w:vAlign w:val="center"/>
          </w:tcPr>
          <w:p w14:paraId="07F5821D" w14:textId="77777777" w:rsidR="00196EE4" w:rsidRPr="003B3046" w:rsidRDefault="006821AB" w:rsidP="00C46715">
            <w:pPr>
              <w:spacing w:after="0"/>
              <w:jc w:val="center"/>
              <w:rPr>
                <w:b/>
              </w:rPr>
            </w:pPr>
            <w:r>
              <w:rPr>
                <w:b/>
              </w:rPr>
              <w:t>Associated simplification of tax code</w:t>
            </w:r>
          </w:p>
        </w:tc>
        <w:tc>
          <w:tcPr>
            <w:tcW w:w="3402" w:type="dxa"/>
            <w:tcBorders>
              <w:bottom w:val="single" w:sz="4" w:space="0" w:color="auto"/>
            </w:tcBorders>
            <w:shd w:val="clear" w:color="auto" w:fill="FFFFFF" w:themeFill="background1"/>
            <w:vAlign w:val="center"/>
          </w:tcPr>
          <w:p w14:paraId="07F5821E" w14:textId="77777777" w:rsidR="00196EE4" w:rsidRDefault="00AB4F28" w:rsidP="00C46715">
            <w:pPr>
              <w:jc w:val="center"/>
              <w:rPr>
                <w:rFonts w:ascii="Calibri" w:hAnsi="Calibri" w:cs="Calibri"/>
                <w:color w:val="000000"/>
              </w:rPr>
            </w:pPr>
            <w:r>
              <w:rPr>
                <w:rFonts w:ascii="Calibri" w:hAnsi="Calibri" w:cs="Calibri"/>
                <w:color w:val="000000"/>
              </w:rPr>
              <w:t>None</w:t>
            </w:r>
          </w:p>
        </w:tc>
        <w:tc>
          <w:tcPr>
            <w:tcW w:w="3503" w:type="dxa"/>
            <w:tcBorders>
              <w:bottom w:val="single" w:sz="4" w:space="0" w:color="auto"/>
            </w:tcBorders>
            <w:vAlign w:val="center"/>
          </w:tcPr>
          <w:p w14:paraId="07F5821F" w14:textId="77777777" w:rsidR="00196EE4" w:rsidRDefault="00FE55D8" w:rsidP="00467AEA">
            <w:pPr>
              <w:jc w:val="center"/>
              <w:rPr>
                <w:rFonts w:ascii="Calibri" w:hAnsi="Calibri" w:cs="Calibri"/>
                <w:color w:val="000000"/>
              </w:rPr>
            </w:pPr>
            <w:r>
              <w:rPr>
                <w:rFonts w:ascii="Calibri" w:hAnsi="Calibri" w:cs="Calibri"/>
                <w:color w:val="000000"/>
              </w:rPr>
              <w:t>Much scope for shortening and simplification of various parts of the law</w:t>
            </w:r>
            <w:r w:rsidR="00467AEA">
              <w:rPr>
                <w:rStyle w:val="FootnoteReference"/>
                <w:rFonts w:ascii="Calibri" w:hAnsi="Calibri" w:cs="Calibri"/>
                <w:color w:val="000000"/>
              </w:rPr>
              <w:footnoteReference w:id="50"/>
            </w:r>
            <w:r>
              <w:rPr>
                <w:rFonts w:ascii="Calibri" w:hAnsi="Calibri" w:cs="Calibri"/>
                <w:color w:val="000000"/>
              </w:rPr>
              <w:t xml:space="preserve"> </w:t>
            </w:r>
          </w:p>
        </w:tc>
      </w:tr>
      <w:tr w:rsidR="00DB17F3" w14:paraId="07F58224" w14:textId="77777777" w:rsidTr="005B3C79">
        <w:trPr>
          <w:trHeight w:val="980"/>
          <w:jc w:val="center"/>
        </w:trPr>
        <w:tc>
          <w:tcPr>
            <w:tcW w:w="2134" w:type="dxa"/>
            <w:tcBorders>
              <w:bottom w:val="single" w:sz="4" w:space="0" w:color="auto"/>
            </w:tcBorders>
            <w:shd w:val="clear" w:color="auto" w:fill="F2F2F2" w:themeFill="background1" w:themeFillShade="F2"/>
            <w:vAlign w:val="center"/>
          </w:tcPr>
          <w:p w14:paraId="07F58221" w14:textId="77777777" w:rsidR="00DB17F3" w:rsidRDefault="00DB17F3" w:rsidP="00C46715">
            <w:pPr>
              <w:spacing w:after="0"/>
              <w:jc w:val="center"/>
              <w:rPr>
                <w:b/>
              </w:rPr>
            </w:pPr>
            <w:r>
              <w:rPr>
                <w:b/>
              </w:rPr>
              <w:t>Public’s acceptance</w:t>
            </w:r>
          </w:p>
        </w:tc>
        <w:tc>
          <w:tcPr>
            <w:tcW w:w="3402" w:type="dxa"/>
            <w:tcBorders>
              <w:bottom w:val="single" w:sz="4" w:space="0" w:color="auto"/>
            </w:tcBorders>
            <w:shd w:val="clear" w:color="auto" w:fill="FFFFFF" w:themeFill="background1"/>
            <w:vAlign w:val="center"/>
          </w:tcPr>
          <w:p w14:paraId="07F58222" w14:textId="77777777" w:rsidR="00DB17F3" w:rsidRDefault="00DB17F3" w:rsidP="00D63B23">
            <w:pPr>
              <w:jc w:val="center"/>
              <w:rPr>
                <w:rFonts w:ascii="Calibri" w:hAnsi="Calibri" w:cs="Calibri"/>
                <w:color w:val="000000"/>
              </w:rPr>
            </w:pPr>
            <w:r>
              <w:rPr>
                <w:rFonts w:ascii="Calibri" w:hAnsi="Calibri" w:cs="Calibri"/>
                <w:color w:val="000000"/>
              </w:rPr>
              <w:t>Requires clear, informed advocacy with detailed worked examples</w:t>
            </w:r>
            <w:r w:rsidR="00166303">
              <w:rPr>
                <w:rStyle w:val="FootnoteReference"/>
                <w:rFonts w:ascii="Calibri" w:hAnsi="Calibri" w:cs="Calibri"/>
                <w:color w:val="000000"/>
              </w:rPr>
              <w:footnoteReference w:id="51"/>
            </w:r>
          </w:p>
        </w:tc>
        <w:tc>
          <w:tcPr>
            <w:tcW w:w="3503" w:type="dxa"/>
            <w:tcBorders>
              <w:bottom w:val="single" w:sz="4" w:space="0" w:color="auto"/>
            </w:tcBorders>
            <w:vAlign w:val="center"/>
          </w:tcPr>
          <w:p w14:paraId="07F58223" w14:textId="77777777" w:rsidR="00DB17F3" w:rsidRDefault="00994FF8" w:rsidP="00467AEA">
            <w:pPr>
              <w:jc w:val="center"/>
              <w:rPr>
                <w:rFonts w:ascii="Calibri" w:hAnsi="Calibri" w:cs="Calibri"/>
                <w:color w:val="000000"/>
              </w:rPr>
            </w:pPr>
            <w:r>
              <w:rPr>
                <w:rFonts w:ascii="Calibri" w:hAnsi="Calibri" w:cs="Calibri"/>
                <w:color w:val="000000"/>
              </w:rPr>
              <w:t>Requires clear, informed advocacy with detailed worked examples</w:t>
            </w:r>
          </w:p>
        </w:tc>
      </w:tr>
      <w:tr w:rsidR="00B4365B" w14:paraId="07F58228" w14:textId="77777777" w:rsidTr="005B3C79">
        <w:trPr>
          <w:trHeight w:val="980"/>
          <w:jc w:val="center"/>
        </w:trPr>
        <w:tc>
          <w:tcPr>
            <w:tcW w:w="2134" w:type="dxa"/>
            <w:tcBorders>
              <w:bottom w:val="single" w:sz="4" w:space="0" w:color="auto"/>
            </w:tcBorders>
            <w:shd w:val="clear" w:color="auto" w:fill="F2F2F2" w:themeFill="background1" w:themeFillShade="F2"/>
            <w:vAlign w:val="center"/>
          </w:tcPr>
          <w:p w14:paraId="07F58225" w14:textId="77777777" w:rsidR="00B4365B" w:rsidRDefault="00B4365B" w:rsidP="00C46715">
            <w:pPr>
              <w:spacing w:after="0"/>
              <w:jc w:val="center"/>
              <w:rPr>
                <w:b/>
              </w:rPr>
            </w:pPr>
            <w:r>
              <w:rPr>
                <w:b/>
              </w:rPr>
              <w:t>Boundary lines</w:t>
            </w:r>
          </w:p>
        </w:tc>
        <w:tc>
          <w:tcPr>
            <w:tcW w:w="3402" w:type="dxa"/>
            <w:tcBorders>
              <w:bottom w:val="single" w:sz="4" w:space="0" w:color="auto"/>
            </w:tcBorders>
            <w:shd w:val="clear" w:color="auto" w:fill="FFFFFF" w:themeFill="background1"/>
            <w:vAlign w:val="center"/>
          </w:tcPr>
          <w:p w14:paraId="07F58226" w14:textId="77777777" w:rsidR="00B4365B" w:rsidRDefault="00482F2D" w:rsidP="00AD3B47">
            <w:pPr>
              <w:jc w:val="center"/>
              <w:rPr>
                <w:rFonts w:ascii="Calibri" w:hAnsi="Calibri" w:cs="Calibri"/>
                <w:color w:val="000000"/>
              </w:rPr>
            </w:pPr>
            <w:r>
              <w:rPr>
                <w:rFonts w:ascii="Calibri" w:hAnsi="Calibri" w:cs="Calibri"/>
                <w:color w:val="000000"/>
              </w:rPr>
              <w:t xml:space="preserve">Boundary lines between </w:t>
            </w:r>
            <w:r w:rsidR="00AD3B47">
              <w:rPr>
                <w:rFonts w:ascii="Calibri" w:hAnsi="Calibri" w:cs="Calibri"/>
                <w:color w:val="000000"/>
              </w:rPr>
              <w:t xml:space="preserve">companies of </w:t>
            </w:r>
            <w:r>
              <w:rPr>
                <w:rFonts w:ascii="Calibri" w:hAnsi="Calibri" w:cs="Calibri"/>
                <w:color w:val="000000"/>
              </w:rPr>
              <w:t>different</w:t>
            </w:r>
            <w:r w:rsidR="00A3362B">
              <w:rPr>
                <w:rFonts w:ascii="Calibri" w:hAnsi="Calibri" w:cs="Calibri"/>
                <w:color w:val="000000"/>
              </w:rPr>
              <w:t xml:space="preserve"> sized</w:t>
            </w:r>
            <w:r w:rsidR="00AD3B47">
              <w:rPr>
                <w:rFonts w:ascii="Calibri" w:hAnsi="Calibri" w:cs="Calibri"/>
                <w:color w:val="000000"/>
              </w:rPr>
              <w:t>/profitability</w:t>
            </w:r>
            <w:r w:rsidR="00A3362B">
              <w:rPr>
                <w:rFonts w:ascii="Calibri" w:hAnsi="Calibri" w:cs="Calibri"/>
                <w:color w:val="000000"/>
              </w:rPr>
              <w:t>. Separate (yet to be determined) treatment of financial services</w:t>
            </w:r>
            <w:r>
              <w:rPr>
                <w:rFonts w:ascii="Calibri" w:hAnsi="Calibri" w:cs="Calibri"/>
                <w:color w:val="000000"/>
              </w:rPr>
              <w:t xml:space="preserve"> </w:t>
            </w:r>
          </w:p>
        </w:tc>
        <w:tc>
          <w:tcPr>
            <w:tcW w:w="3503" w:type="dxa"/>
            <w:tcBorders>
              <w:bottom w:val="single" w:sz="4" w:space="0" w:color="auto"/>
            </w:tcBorders>
            <w:vAlign w:val="center"/>
          </w:tcPr>
          <w:p w14:paraId="07F58227" w14:textId="77777777" w:rsidR="00B4365B" w:rsidRDefault="00A3362B" w:rsidP="00634781">
            <w:pPr>
              <w:jc w:val="center"/>
              <w:rPr>
                <w:rFonts w:ascii="Calibri" w:hAnsi="Calibri" w:cs="Calibri"/>
                <w:color w:val="000000"/>
              </w:rPr>
            </w:pPr>
            <w:r>
              <w:rPr>
                <w:rFonts w:ascii="Calibri" w:hAnsi="Calibri" w:cs="Calibri"/>
                <w:color w:val="000000"/>
              </w:rPr>
              <w:t>Furthers</w:t>
            </w:r>
            <w:r w:rsidR="00634781">
              <w:rPr>
                <w:rFonts w:ascii="Calibri" w:hAnsi="Calibri" w:cs="Calibri"/>
                <w:color w:val="000000"/>
              </w:rPr>
              <w:t xml:space="preserve"> individuals’ annual taxable income from all sources going into same </w:t>
            </w:r>
            <w:r>
              <w:rPr>
                <w:rFonts w:ascii="Calibri" w:hAnsi="Calibri" w:cs="Calibri"/>
                <w:color w:val="000000"/>
              </w:rPr>
              <w:t xml:space="preserve">assessment </w:t>
            </w:r>
            <w:r w:rsidR="00634781">
              <w:rPr>
                <w:rFonts w:ascii="Calibri" w:hAnsi="Calibri" w:cs="Calibri"/>
                <w:color w:val="000000"/>
              </w:rPr>
              <w:t xml:space="preserve">melting pot </w:t>
            </w:r>
            <w:r w:rsidR="00640B00">
              <w:rPr>
                <w:rFonts w:ascii="Calibri" w:hAnsi="Calibri" w:cs="Calibri"/>
                <w:color w:val="000000"/>
              </w:rPr>
              <w:t>in the same year</w:t>
            </w:r>
          </w:p>
        </w:tc>
      </w:tr>
      <w:tr w:rsidR="00740C43" w14:paraId="07F5822C" w14:textId="77777777" w:rsidTr="005B3C79">
        <w:trPr>
          <w:trHeight w:val="980"/>
          <w:jc w:val="center"/>
        </w:trPr>
        <w:tc>
          <w:tcPr>
            <w:tcW w:w="2134" w:type="dxa"/>
            <w:tcBorders>
              <w:bottom w:val="single" w:sz="4" w:space="0" w:color="auto"/>
            </w:tcBorders>
            <w:shd w:val="clear" w:color="auto" w:fill="F2F2F2" w:themeFill="background1" w:themeFillShade="F2"/>
            <w:vAlign w:val="center"/>
          </w:tcPr>
          <w:p w14:paraId="07F58229" w14:textId="77777777" w:rsidR="00740C43" w:rsidRDefault="00740C43" w:rsidP="00740C43">
            <w:pPr>
              <w:spacing w:after="0"/>
              <w:jc w:val="center"/>
              <w:rPr>
                <w:b/>
              </w:rPr>
            </w:pPr>
            <w:r>
              <w:rPr>
                <w:b/>
              </w:rPr>
              <w:t>Effect on bucket companies</w:t>
            </w:r>
          </w:p>
        </w:tc>
        <w:tc>
          <w:tcPr>
            <w:tcW w:w="3402" w:type="dxa"/>
            <w:tcBorders>
              <w:bottom w:val="single" w:sz="4" w:space="0" w:color="auto"/>
            </w:tcBorders>
            <w:shd w:val="clear" w:color="auto" w:fill="FFFFFF" w:themeFill="background1"/>
            <w:vAlign w:val="center"/>
          </w:tcPr>
          <w:p w14:paraId="07F5822A" w14:textId="77777777" w:rsidR="00740C43" w:rsidRDefault="00740C43" w:rsidP="00740C43">
            <w:pPr>
              <w:jc w:val="center"/>
              <w:rPr>
                <w:rFonts w:ascii="Calibri" w:hAnsi="Calibri" w:cs="Calibri"/>
                <w:color w:val="000000"/>
              </w:rPr>
            </w:pPr>
            <w:r>
              <w:rPr>
                <w:rFonts w:ascii="Calibri" w:hAnsi="Calibri" w:cs="Calibri"/>
                <w:color w:val="000000"/>
              </w:rPr>
              <w:t>Lower tax rates for closely-held companies exacerbates their use</w:t>
            </w:r>
          </w:p>
        </w:tc>
        <w:tc>
          <w:tcPr>
            <w:tcW w:w="3503" w:type="dxa"/>
            <w:tcBorders>
              <w:bottom w:val="single" w:sz="4" w:space="0" w:color="auto"/>
            </w:tcBorders>
            <w:vAlign w:val="center"/>
          </w:tcPr>
          <w:p w14:paraId="07F5822B" w14:textId="77777777" w:rsidR="00740C43" w:rsidRDefault="00467AEA" w:rsidP="00740C43">
            <w:pPr>
              <w:jc w:val="center"/>
              <w:rPr>
                <w:rFonts w:ascii="Calibri" w:hAnsi="Calibri" w:cs="Calibri"/>
                <w:color w:val="000000"/>
              </w:rPr>
            </w:pPr>
            <w:r>
              <w:rPr>
                <w:rFonts w:ascii="Calibri" w:hAnsi="Calibri" w:cs="Calibri"/>
                <w:color w:val="000000"/>
              </w:rPr>
              <w:t>Removes their tax advantage and cost</w:t>
            </w:r>
            <w:r w:rsidR="00740C43">
              <w:rPr>
                <w:rFonts w:ascii="Calibri" w:hAnsi="Calibri" w:cs="Calibri"/>
                <w:color w:val="000000"/>
              </w:rPr>
              <w:t xml:space="preserve"> regardless of company tax rate</w:t>
            </w:r>
          </w:p>
        </w:tc>
      </w:tr>
      <w:tr w:rsidR="00B4365B" w14:paraId="07F58230" w14:textId="77777777" w:rsidTr="005B3C79">
        <w:trPr>
          <w:trHeight w:val="980"/>
          <w:jc w:val="center"/>
        </w:trPr>
        <w:tc>
          <w:tcPr>
            <w:tcW w:w="2134" w:type="dxa"/>
            <w:tcBorders>
              <w:bottom w:val="single" w:sz="4" w:space="0" w:color="auto"/>
            </w:tcBorders>
            <w:shd w:val="clear" w:color="auto" w:fill="F2F2F2" w:themeFill="background1" w:themeFillShade="F2"/>
            <w:vAlign w:val="center"/>
          </w:tcPr>
          <w:p w14:paraId="07F5822D" w14:textId="77777777" w:rsidR="00B4365B" w:rsidRDefault="0022592A" w:rsidP="00C46715">
            <w:pPr>
              <w:spacing w:after="0"/>
              <w:jc w:val="center"/>
              <w:rPr>
                <w:b/>
              </w:rPr>
            </w:pPr>
            <w:r>
              <w:rPr>
                <w:b/>
              </w:rPr>
              <w:t>Tax rates</w:t>
            </w:r>
          </w:p>
        </w:tc>
        <w:tc>
          <w:tcPr>
            <w:tcW w:w="3402" w:type="dxa"/>
            <w:tcBorders>
              <w:bottom w:val="single" w:sz="4" w:space="0" w:color="auto"/>
            </w:tcBorders>
            <w:shd w:val="clear" w:color="auto" w:fill="FFFFFF" w:themeFill="background1"/>
            <w:vAlign w:val="center"/>
          </w:tcPr>
          <w:p w14:paraId="07F5822E" w14:textId="77777777" w:rsidR="00B4365B" w:rsidRDefault="00634781" w:rsidP="00C46715">
            <w:pPr>
              <w:jc w:val="center"/>
              <w:rPr>
                <w:rFonts w:ascii="Calibri" w:hAnsi="Calibri" w:cs="Calibri"/>
                <w:color w:val="000000"/>
              </w:rPr>
            </w:pPr>
            <w:r>
              <w:rPr>
                <w:rFonts w:ascii="Calibri" w:hAnsi="Calibri" w:cs="Calibri"/>
                <w:color w:val="000000"/>
              </w:rPr>
              <w:t>Lower tax rate for small and medium companies</w:t>
            </w:r>
          </w:p>
        </w:tc>
        <w:tc>
          <w:tcPr>
            <w:tcW w:w="3503" w:type="dxa"/>
            <w:tcBorders>
              <w:bottom w:val="single" w:sz="4" w:space="0" w:color="auto"/>
            </w:tcBorders>
            <w:vAlign w:val="center"/>
          </w:tcPr>
          <w:p w14:paraId="07F5822F" w14:textId="77777777" w:rsidR="00B4365B" w:rsidRDefault="00634781" w:rsidP="00C46715">
            <w:pPr>
              <w:jc w:val="center"/>
              <w:rPr>
                <w:rFonts w:ascii="Calibri" w:hAnsi="Calibri" w:cs="Calibri"/>
                <w:color w:val="000000"/>
              </w:rPr>
            </w:pPr>
            <w:r>
              <w:rPr>
                <w:rFonts w:ascii="Calibri" w:hAnsi="Calibri" w:cs="Calibri"/>
                <w:color w:val="000000"/>
              </w:rPr>
              <w:t>Potentially lower single rate for all companies</w:t>
            </w:r>
          </w:p>
        </w:tc>
      </w:tr>
    </w:tbl>
    <w:p w14:paraId="07F58231" w14:textId="77777777" w:rsidR="00CB771F" w:rsidRDefault="00CB771F"/>
    <w:p w14:paraId="07F58232" w14:textId="77777777" w:rsidR="00CB771F" w:rsidRDefault="00CB771F">
      <w:r>
        <w:lastRenderedPageBreak/>
        <w:t xml:space="preserve">The interim report raises the prospect of </w:t>
      </w:r>
      <w:r w:rsidR="00DF0308">
        <w:t>seeking guidance from “</w:t>
      </w:r>
      <w:r>
        <w:t xml:space="preserve">Australian </w:t>
      </w:r>
      <w:r w:rsidR="00DF0308">
        <w:t xml:space="preserve">tax administration authorities” </w:t>
      </w:r>
      <w:r>
        <w:t>in the finalising of changes to company tax design. The commission may wish to consider recommending its final proposed redesign, as well as integration of taxable income, be put through Treasury’s integrated tax design process</w:t>
      </w:r>
      <w:r>
        <w:rPr>
          <w:rStyle w:val="FootnoteReference"/>
        </w:rPr>
        <w:footnoteReference w:id="52"/>
      </w:r>
      <w:r>
        <w:t xml:space="preserve"> for comprehensive evaluation.</w:t>
      </w:r>
    </w:p>
    <w:p w14:paraId="07F58233" w14:textId="77777777" w:rsidR="00EA2363" w:rsidRDefault="0022592A" w:rsidP="00F75D10">
      <w:r>
        <w:t>That would set the scene for ongoing broadening of the system-wide income tax base</w:t>
      </w:r>
      <w:r w:rsidR="00A26486">
        <w:t xml:space="preserve"> (with the potential for accompanying tax rate reductions)</w:t>
      </w:r>
      <w:r>
        <w:t xml:space="preserve"> – </w:t>
      </w:r>
      <w:r w:rsidR="00166303">
        <w:t xml:space="preserve">in conjunction with simple, consistent, principles-based redesign of the income tax base </w:t>
      </w:r>
      <w:r w:rsidR="00531BD4">
        <w:t>and its</w:t>
      </w:r>
      <w:r w:rsidR="00166303">
        <w:t xml:space="preserve"> specification of </w:t>
      </w:r>
      <w:r>
        <w:t>changing tax values across all categories of assets and liabilities.</w:t>
      </w:r>
      <w:r w:rsidR="007C785B">
        <w:rPr>
          <w:rStyle w:val="FootnoteReference"/>
        </w:rPr>
        <w:footnoteReference w:id="53"/>
      </w:r>
    </w:p>
    <w:p w14:paraId="07F58234" w14:textId="77777777" w:rsidR="005E02C3" w:rsidRDefault="005E02C3"/>
    <w:p w14:paraId="07F58235" w14:textId="77777777" w:rsidR="00EA2363" w:rsidRDefault="00EA2363">
      <w:pPr>
        <w:rPr>
          <w:b/>
        </w:rPr>
      </w:pPr>
      <w:r>
        <w:t>1</w:t>
      </w:r>
      <w:r w:rsidR="005E02C3">
        <w:t>2</w:t>
      </w:r>
      <w:r w:rsidR="00AC0743">
        <w:t xml:space="preserve"> September 2025</w:t>
      </w:r>
      <w:r w:rsidR="0022592A">
        <w:t xml:space="preserve"> </w:t>
      </w:r>
      <w:r>
        <w:rPr>
          <w:b/>
        </w:rPr>
        <w:br w:type="page"/>
      </w:r>
    </w:p>
    <w:p w14:paraId="07F58236" w14:textId="77777777" w:rsidR="005F415A" w:rsidRPr="0053010F" w:rsidRDefault="005F415A">
      <w:pPr>
        <w:rPr>
          <w:b/>
        </w:rPr>
      </w:pPr>
      <w:r w:rsidRPr="0053010F">
        <w:rPr>
          <w:b/>
        </w:rPr>
        <w:lastRenderedPageBreak/>
        <w:t>ATTACHMENT:</w:t>
      </w:r>
      <w:r w:rsidR="0053010F" w:rsidRPr="0053010F">
        <w:rPr>
          <w:b/>
        </w:rPr>
        <w:t xml:space="preserve"> ECONOMIC DEPRECIATION APPLIED UNDER INTERIM REPORT’S TAX DESIGN AND UNDER TAX-NEUTRAL DESIGN</w:t>
      </w:r>
    </w:p>
    <w:p w14:paraId="07F58237" w14:textId="77777777" w:rsidR="00757DF9" w:rsidRPr="000A7173" w:rsidRDefault="00757DF9" w:rsidP="00757DF9">
      <w:pPr>
        <w:spacing w:after="0"/>
        <w:rPr>
          <w:b/>
        </w:rPr>
      </w:pPr>
      <w:r w:rsidRPr="000A7173">
        <w:rPr>
          <w:b/>
        </w:rPr>
        <w:t xml:space="preserve">TABLE </w:t>
      </w:r>
      <w:r w:rsidR="00782E71">
        <w:rPr>
          <w:b/>
        </w:rPr>
        <w:t>A1</w:t>
      </w:r>
    </w:p>
    <w:p w14:paraId="07F58238" w14:textId="77777777" w:rsidR="00757DF9" w:rsidRDefault="00757DF9" w:rsidP="00757DF9">
      <w:pPr>
        <w:spacing w:after="0"/>
      </w:pPr>
      <w:r>
        <w:t xml:space="preserve">Company in interim report’s Table B.7 subject to 5% NCT plus income tax </w:t>
      </w:r>
      <w:r w:rsidR="00AB1C04">
        <w:t xml:space="preserve">with </w:t>
      </w:r>
      <w:r>
        <w:t xml:space="preserve">economic depreciation of $500,000 capital investment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034"/>
        <w:gridCol w:w="992"/>
        <w:gridCol w:w="992"/>
        <w:gridCol w:w="1134"/>
        <w:gridCol w:w="962"/>
        <w:gridCol w:w="859"/>
        <w:gridCol w:w="1145"/>
        <w:gridCol w:w="1145"/>
      </w:tblGrid>
      <w:tr w:rsidR="006141AE" w14:paraId="07F5825A" w14:textId="77777777" w:rsidTr="006141AE">
        <w:trPr>
          <w:trHeight w:val="1874"/>
        </w:trPr>
        <w:tc>
          <w:tcPr>
            <w:tcW w:w="634" w:type="dxa"/>
            <w:shd w:val="clear" w:color="auto" w:fill="F2F2F2"/>
            <w:vAlign w:val="center"/>
          </w:tcPr>
          <w:p w14:paraId="07F58239" w14:textId="77777777" w:rsidR="00757DF9" w:rsidRPr="003B3046" w:rsidRDefault="00757DF9" w:rsidP="00071D4F">
            <w:pPr>
              <w:spacing w:after="0"/>
              <w:jc w:val="center"/>
              <w:rPr>
                <w:b/>
              </w:rPr>
            </w:pPr>
            <w:r w:rsidRPr="003B3046">
              <w:rPr>
                <w:b/>
              </w:rPr>
              <w:t>Year</w:t>
            </w:r>
          </w:p>
        </w:tc>
        <w:tc>
          <w:tcPr>
            <w:tcW w:w="1034" w:type="dxa"/>
            <w:tcBorders>
              <w:bottom w:val="single" w:sz="4" w:space="0" w:color="auto"/>
            </w:tcBorders>
            <w:shd w:val="clear" w:color="auto" w:fill="F2F2F2"/>
          </w:tcPr>
          <w:p w14:paraId="07F5823A" w14:textId="77777777" w:rsidR="00757DF9" w:rsidRDefault="00757DF9" w:rsidP="00071D4F">
            <w:pPr>
              <w:spacing w:after="0"/>
              <w:jc w:val="center"/>
              <w:rPr>
                <w:b/>
              </w:rPr>
            </w:pPr>
            <w:r w:rsidRPr="003B3046">
              <w:rPr>
                <w:b/>
              </w:rPr>
              <w:t>P</w:t>
            </w:r>
            <w:r>
              <w:rPr>
                <w:b/>
              </w:rPr>
              <w:t>re</w:t>
            </w:r>
            <w:r w:rsidRPr="003B3046">
              <w:rPr>
                <w:b/>
              </w:rPr>
              <w:t>-tax cash flow</w:t>
            </w:r>
          </w:p>
          <w:p w14:paraId="07F5823B" w14:textId="77777777" w:rsidR="00757DF9" w:rsidRDefault="00757DF9" w:rsidP="00071D4F">
            <w:pPr>
              <w:spacing w:after="0"/>
              <w:jc w:val="center"/>
              <w:rPr>
                <w:b/>
              </w:rPr>
            </w:pPr>
            <w:r w:rsidRPr="003B3046">
              <w:rPr>
                <w:b/>
              </w:rPr>
              <w:t xml:space="preserve"> </w:t>
            </w:r>
          </w:p>
          <w:p w14:paraId="07F5823C" w14:textId="77777777" w:rsidR="00757DF9" w:rsidRPr="003B3046" w:rsidRDefault="00757DF9" w:rsidP="00071D4F">
            <w:pPr>
              <w:spacing w:after="0"/>
              <w:jc w:val="center"/>
              <w:rPr>
                <w:b/>
              </w:rPr>
            </w:pPr>
            <w:r>
              <w:rPr>
                <w:b/>
              </w:rPr>
              <w:t xml:space="preserve"> (a)</w:t>
            </w:r>
          </w:p>
          <w:p w14:paraId="07F5823D" w14:textId="77777777" w:rsidR="00757DF9" w:rsidRPr="003B3046" w:rsidRDefault="00757DF9" w:rsidP="00071D4F">
            <w:pPr>
              <w:spacing w:after="0"/>
              <w:jc w:val="center"/>
              <w:rPr>
                <w:b/>
              </w:rPr>
            </w:pPr>
            <w:r w:rsidRPr="003B3046">
              <w:rPr>
                <w:b/>
              </w:rPr>
              <w:t>$</w:t>
            </w:r>
          </w:p>
        </w:tc>
        <w:tc>
          <w:tcPr>
            <w:tcW w:w="992" w:type="dxa"/>
            <w:shd w:val="clear" w:color="auto" w:fill="F2F2F2"/>
          </w:tcPr>
          <w:p w14:paraId="07F5823E" w14:textId="77777777" w:rsidR="00757DF9" w:rsidRDefault="00757DF9" w:rsidP="00071D4F">
            <w:pPr>
              <w:spacing w:after="0"/>
              <w:jc w:val="center"/>
              <w:rPr>
                <w:b/>
              </w:rPr>
            </w:pPr>
            <w:r>
              <w:rPr>
                <w:b/>
              </w:rPr>
              <w:t>Income tax deprec-iation</w:t>
            </w:r>
          </w:p>
          <w:p w14:paraId="07F5823F" w14:textId="77777777" w:rsidR="00757DF9" w:rsidRPr="003B3046" w:rsidRDefault="00757DF9" w:rsidP="00071D4F">
            <w:pPr>
              <w:spacing w:after="0"/>
              <w:jc w:val="center"/>
              <w:rPr>
                <w:b/>
              </w:rPr>
            </w:pPr>
            <w:r w:rsidRPr="003B3046">
              <w:rPr>
                <w:b/>
              </w:rPr>
              <w:t xml:space="preserve"> </w:t>
            </w:r>
            <w:r>
              <w:rPr>
                <w:b/>
              </w:rPr>
              <w:t>(b)</w:t>
            </w:r>
          </w:p>
          <w:p w14:paraId="07F58240" w14:textId="77777777" w:rsidR="00757DF9" w:rsidRPr="003B3046" w:rsidRDefault="00757DF9" w:rsidP="00071D4F">
            <w:pPr>
              <w:spacing w:after="0"/>
              <w:jc w:val="center"/>
              <w:rPr>
                <w:b/>
              </w:rPr>
            </w:pPr>
            <w:r w:rsidRPr="003B3046">
              <w:rPr>
                <w:b/>
              </w:rPr>
              <w:t>$</w:t>
            </w:r>
          </w:p>
        </w:tc>
        <w:tc>
          <w:tcPr>
            <w:tcW w:w="992" w:type="dxa"/>
            <w:tcBorders>
              <w:bottom w:val="single" w:sz="4" w:space="0" w:color="auto"/>
            </w:tcBorders>
            <w:shd w:val="clear" w:color="auto" w:fill="F2F2F2"/>
          </w:tcPr>
          <w:p w14:paraId="07F58241" w14:textId="77777777" w:rsidR="00757DF9" w:rsidRDefault="00757DF9" w:rsidP="00071D4F">
            <w:pPr>
              <w:spacing w:after="0"/>
              <w:jc w:val="center"/>
              <w:rPr>
                <w:b/>
              </w:rPr>
            </w:pPr>
            <w:r>
              <w:rPr>
                <w:b/>
              </w:rPr>
              <w:t>Taxable income</w:t>
            </w:r>
          </w:p>
          <w:p w14:paraId="07F58242" w14:textId="77777777" w:rsidR="006141AE" w:rsidRDefault="006141AE" w:rsidP="00071D4F">
            <w:pPr>
              <w:spacing w:after="0"/>
              <w:jc w:val="center"/>
              <w:rPr>
                <w:b/>
              </w:rPr>
            </w:pPr>
          </w:p>
          <w:p w14:paraId="07F58243" w14:textId="77777777" w:rsidR="00757DF9" w:rsidRPr="003B3046" w:rsidRDefault="00757DF9" w:rsidP="00071D4F">
            <w:pPr>
              <w:spacing w:after="0"/>
              <w:jc w:val="center"/>
              <w:rPr>
                <w:b/>
              </w:rPr>
            </w:pPr>
            <w:r w:rsidRPr="003B3046">
              <w:rPr>
                <w:b/>
              </w:rPr>
              <w:t xml:space="preserve"> </w:t>
            </w:r>
          </w:p>
          <w:p w14:paraId="07F58244" w14:textId="77777777" w:rsidR="00757DF9" w:rsidRPr="003B3046" w:rsidRDefault="00757DF9" w:rsidP="00071D4F">
            <w:pPr>
              <w:spacing w:after="0"/>
              <w:jc w:val="center"/>
              <w:rPr>
                <w:b/>
              </w:rPr>
            </w:pPr>
            <w:r>
              <w:rPr>
                <w:b/>
              </w:rPr>
              <w:t>(c)</w:t>
            </w:r>
          </w:p>
          <w:p w14:paraId="07F58245" w14:textId="77777777" w:rsidR="00757DF9" w:rsidRPr="003B3046" w:rsidRDefault="00757DF9" w:rsidP="00071D4F">
            <w:pPr>
              <w:spacing w:after="0"/>
              <w:jc w:val="center"/>
              <w:rPr>
                <w:b/>
              </w:rPr>
            </w:pPr>
            <w:r w:rsidRPr="003B3046">
              <w:rPr>
                <w:b/>
              </w:rPr>
              <w:t>$</w:t>
            </w:r>
          </w:p>
        </w:tc>
        <w:tc>
          <w:tcPr>
            <w:tcW w:w="1134" w:type="dxa"/>
            <w:shd w:val="clear" w:color="auto" w:fill="F2F2F2"/>
          </w:tcPr>
          <w:p w14:paraId="07F58246" w14:textId="77777777" w:rsidR="00757DF9" w:rsidRPr="003B3046" w:rsidRDefault="00757DF9" w:rsidP="00071D4F">
            <w:pPr>
              <w:spacing w:after="0"/>
              <w:jc w:val="center"/>
              <w:rPr>
                <w:b/>
              </w:rPr>
            </w:pPr>
            <w:r>
              <w:rPr>
                <w:b/>
              </w:rPr>
              <w:t>Income tax payments at 30%</w:t>
            </w:r>
          </w:p>
          <w:p w14:paraId="07F58247" w14:textId="77777777" w:rsidR="00757DF9" w:rsidRPr="003B3046" w:rsidRDefault="00757DF9" w:rsidP="00071D4F">
            <w:pPr>
              <w:spacing w:after="0"/>
              <w:jc w:val="center"/>
              <w:rPr>
                <w:b/>
              </w:rPr>
            </w:pPr>
            <w:r>
              <w:rPr>
                <w:b/>
              </w:rPr>
              <w:t>(d)</w:t>
            </w:r>
          </w:p>
          <w:p w14:paraId="07F58248" w14:textId="77777777" w:rsidR="00757DF9" w:rsidRPr="003B3046" w:rsidRDefault="00757DF9" w:rsidP="00071D4F">
            <w:pPr>
              <w:spacing w:after="0"/>
              <w:jc w:val="center"/>
              <w:rPr>
                <w:b/>
              </w:rPr>
            </w:pPr>
            <w:r w:rsidRPr="003B3046">
              <w:rPr>
                <w:b/>
              </w:rPr>
              <w:t>$</w:t>
            </w:r>
          </w:p>
        </w:tc>
        <w:tc>
          <w:tcPr>
            <w:tcW w:w="962" w:type="dxa"/>
            <w:shd w:val="clear" w:color="auto" w:fill="F2F2F2"/>
          </w:tcPr>
          <w:p w14:paraId="07F58249" w14:textId="77777777" w:rsidR="00757DF9" w:rsidRDefault="00757DF9" w:rsidP="00071D4F">
            <w:pPr>
              <w:spacing w:after="0"/>
              <w:jc w:val="center"/>
              <w:rPr>
                <w:b/>
              </w:rPr>
            </w:pPr>
            <w:r>
              <w:rPr>
                <w:b/>
              </w:rPr>
              <w:t xml:space="preserve">Post-income tax cash flow </w:t>
            </w:r>
            <w:r w:rsidRPr="003B3046">
              <w:rPr>
                <w:b/>
              </w:rPr>
              <w:t xml:space="preserve"> </w:t>
            </w:r>
          </w:p>
          <w:p w14:paraId="07F5824A" w14:textId="77777777" w:rsidR="00757DF9" w:rsidRPr="003B3046" w:rsidRDefault="00757DF9" w:rsidP="00071D4F">
            <w:pPr>
              <w:spacing w:after="0"/>
              <w:jc w:val="center"/>
              <w:rPr>
                <w:b/>
              </w:rPr>
            </w:pPr>
            <w:r>
              <w:rPr>
                <w:b/>
              </w:rPr>
              <w:t xml:space="preserve"> (e)</w:t>
            </w:r>
          </w:p>
          <w:p w14:paraId="07F5824B" w14:textId="77777777" w:rsidR="00757DF9" w:rsidRPr="003B3046" w:rsidRDefault="00757DF9" w:rsidP="00071D4F">
            <w:pPr>
              <w:spacing w:after="0"/>
              <w:jc w:val="center"/>
              <w:rPr>
                <w:b/>
              </w:rPr>
            </w:pPr>
            <w:r w:rsidRPr="003B3046">
              <w:rPr>
                <w:b/>
              </w:rPr>
              <w:t>$</w:t>
            </w:r>
          </w:p>
        </w:tc>
        <w:tc>
          <w:tcPr>
            <w:tcW w:w="859" w:type="dxa"/>
            <w:shd w:val="clear" w:color="auto" w:fill="F2F2F2"/>
          </w:tcPr>
          <w:p w14:paraId="07F5824C" w14:textId="77777777" w:rsidR="00757DF9" w:rsidRDefault="00757DF9" w:rsidP="00071D4F">
            <w:pPr>
              <w:spacing w:after="0"/>
              <w:jc w:val="center"/>
              <w:rPr>
                <w:b/>
              </w:rPr>
            </w:pPr>
            <w:r>
              <w:rPr>
                <w:b/>
              </w:rPr>
              <w:t>5% NCT</w:t>
            </w:r>
          </w:p>
          <w:p w14:paraId="07F5824D" w14:textId="77777777" w:rsidR="00757DF9" w:rsidRDefault="00757DF9" w:rsidP="00071D4F">
            <w:pPr>
              <w:spacing w:after="0"/>
              <w:jc w:val="center"/>
              <w:rPr>
                <w:b/>
              </w:rPr>
            </w:pPr>
          </w:p>
          <w:p w14:paraId="07F5824E" w14:textId="77777777" w:rsidR="00757DF9" w:rsidRDefault="00757DF9" w:rsidP="00071D4F">
            <w:pPr>
              <w:spacing w:after="0"/>
              <w:jc w:val="center"/>
              <w:rPr>
                <w:b/>
              </w:rPr>
            </w:pPr>
          </w:p>
          <w:p w14:paraId="07F5824F" w14:textId="77777777" w:rsidR="00757DF9" w:rsidRDefault="00757DF9" w:rsidP="00071D4F">
            <w:pPr>
              <w:spacing w:after="0"/>
              <w:jc w:val="center"/>
              <w:rPr>
                <w:b/>
              </w:rPr>
            </w:pPr>
            <w:r>
              <w:rPr>
                <w:b/>
              </w:rPr>
              <w:t>(f)</w:t>
            </w:r>
          </w:p>
          <w:p w14:paraId="07F58250" w14:textId="77777777" w:rsidR="00757DF9" w:rsidRPr="003B3046" w:rsidRDefault="00757DF9" w:rsidP="00071D4F">
            <w:pPr>
              <w:spacing w:after="0"/>
              <w:jc w:val="center"/>
              <w:rPr>
                <w:b/>
              </w:rPr>
            </w:pPr>
            <w:r>
              <w:rPr>
                <w:b/>
              </w:rPr>
              <w:t>$</w:t>
            </w:r>
          </w:p>
        </w:tc>
        <w:tc>
          <w:tcPr>
            <w:tcW w:w="1145" w:type="dxa"/>
            <w:tcBorders>
              <w:bottom w:val="single" w:sz="4" w:space="0" w:color="auto"/>
            </w:tcBorders>
            <w:shd w:val="clear" w:color="auto" w:fill="F2F2F2"/>
          </w:tcPr>
          <w:p w14:paraId="07F58251" w14:textId="77777777" w:rsidR="00757DF9" w:rsidRDefault="00757DF9" w:rsidP="00071D4F">
            <w:pPr>
              <w:spacing w:after="0"/>
              <w:jc w:val="center"/>
              <w:rPr>
                <w:b/>
              </w:rPr>
            </w:pPr>
            <w:r w:rsidRPr="003B3046">
              <w:rPr>
                <w:b/>
              </w:rPr>
              <w:t>P</w:t>
            </w:r>
            <w:r>
              <w:rPr>
                <w:b/>
              </w:rPr>
              <w:t>ost</w:t>
            </w:r>
            <w:r w:rsidRPr="003B3046">
              <w:rPr>
                <w:b/>
              </w:rPr>
              <w:t>-</w:t>
            </w:r>
            <w:r>
              <w:rPr>
                <w:b/>
              </w:rPr>
              <w:t xml:space="preserve">all </w:t>
            </w:r>
            <w:r w:rsidRPr="003B3046">
              <w:rPr>
                <w:b/>
              </w:rPr>
              <w:t>tax</w:t>
            </w:r>
            <w:r>
              <w:rPr>
                <w:b/>
              </w:rPr>
              <w:t>es</w:t>
            </w:r>
            <w:r w:rsidRPr="003B3046">
              <w:rPr>
                <w:b/>
              </w:rPr>
              <w:t xml:space="preserve"> cash flow</w:t>
            </w:r>
          </w:p>
          <w:p w14:paraId="07F58252" w14:textId="77777777" w:rsidR="006141AE" w:rsidRDefault="006141AE" w:rsidP="00071D4F">
            <w:pPr>
              <w:spacing w:after="0"/>
              <w:jc w:val="center"/>
              <w:rPr>
                <w:b/>
              </w:rPr>
            </w:pPr>
          </w:p>
          <w:p w14:paraId="07F58253" w14:textId="77777777" w:rsidR="00757DF9" w:rsidRDefault="00757DF9" w:rsidP="00071D4F">
            <w:pPr>
              <w:spacing w:after="0"/>
              <w:jc w:val="center"/>
              <w:rPr>
                <w:b/>
              </w:rPr>
            </w:pPr>
            <w:r>
              <w:rPr>
                <w:b/>
              </w:rPr>
              <w:t>(g)</w:t>
            </w:r>
          </w:p>
          <w:p w14:paraId="07F58254" w14:textId="77777777" w:rsidR="00757DF9" w:rsidRPr="003B3046" w:rsidRDefault="00757DF9" w:rsidP="00071D4F">
            <w:pPr>
              <w:spacing w:after="0"/>
              <w:jc w:val="center"/>
              <w:rPr>
                <w:b/>
              </w:rPr>
            </w:pPr>
            <w:r>
              <w:rPr>
                <w:b/>
              </w:rPr>
              <w:t>$</w:t>
            </w:r>
          </w:p>
        </w:tc>
        <w:tc>
          <w:tcPr>
            <w:tcW w:w="1145" w:type="dxa"/>
            <w:tcBorders>
              <w:bottom w:val="single" w:sz="4" w:space="0" w:color="auto"/>
            </w:tcBorders>
            <w:shd w:val="clear" w:color="auto" w:fill="F2F2F2"/>
          </w:tcPr>
          <w:p w14:paraId="07F58255" w14:textId="77777777" w:rsidR="00757DF9" w:rsidRDefault="00757DF9" w:rsidP="00071D4F">
            <w:pPr>
              <w:spacing w:after="0"/>
              <w:jc w:val="center"/>
              <w:rPr>
                <w:b/>
              </w:rPr>
            </w:pPr>
            <w:r>
              <w:rPr>
                <w:b/>
              </w:rPr>
              <w:t>Total tax revenue</w:t>
            </w:r>
          </w:p>
          <w:p w14:paraId="07F58256" w14:textId="77777777" w:rsidR="00757DF9" w:rsidRDefault="00757DF9" w:rsidP="00071D4F">
            <w:pPr>
              <w:spacing w:after="0"/>
              <w:jc w:val="center"/>
              <w:rPr>
                <w:b/>
              </w:rPr>
            </w:pPr>
          </w:p>
          <w:p w14:paraId="07F58257" w14:textId="77777777" w:rsidR="00757DF9" w:rsidRDefault="00757DF9" w:rsidP="00071D4F">
            <w:pPr>
              <w:spacing w:after="0"/>
              <w:jc w:val="center"/>
              <w:rPr>
                <w:b/>
              </w:rPr>
            </w:pPr>
          </w:p>
          <w:p w14:paraId="07F58258" w14:textId="77777777" w:rsidR="00757DF9" w:rsidRDefault="00757DF9" w:rsidP="00071D4F">
            <w:pPr>
              <w:spacing w:after="0"/>
              <w:jc w:val="center"/>
              <w:rPr>
                <w:b/>
              </w:rPr>
            </w:pPr>
            <w:r>
              <w:rPr>
                <w:b/>
              </w:rPr>
              <w:t>(h)</w:t>
            </w:r>
          </w:p>
          <w:p w14:paraId="07F58259" w14:textId="77777777" w:rsidR="00757DF9" w:rsidRPr="003B3046" w:rsidRDefault="00757DF9" w:rsidP="00071D4F">
            <w:pPr>
              <w:spacing w:after="0"/>
              <w:jc w:val="center"/>
              <w:rPr>
                <w:b/>
              </w:rPr>
            </w:pPr>
            <w:r>
              <w:rPr>
                <w:b/>
              </w:rPr>
              <w:t xml:space="preserve">$ </w:t>
            </w:r>
          </w:p>
        </w:tc>
      </w:tr>
      <w:tr w:rsidR="006141AE" w14:paraId="07F58264" w14:textId="77777777" w:rsidTr="006141AE">
        <w:tc>
          <w:tcPr>
            <w:tcW w:w="634" w:type="dxa"/>
          </w:tcPr>
          <w:p w14:paraId="07F5825B" w14:textId="77777777" w:rsidR="00C277E7" w:rsidRPr="003B3046" w:rsidRDefault="00C277E7" w:rsidP="00071D4F">
            <w:pPr>
              <w:spacing w:after="0"/>
              <w:jc w:val="center"/>
              <w:rPr>
                <w:b/>
              </w:rPr>
            </w:pPr>
            <w:r w:rsidRPr="003B3046">
              <w:rPr>
                <w:b/>
              </w:rPr>
              <w:t>0</w:t>
            </w:r>
          </w:p>
        </w:tc>
        <w:tc>
          <w:tcPr>
            <w:tcW w:w="1034" w:type="dxa"/>
            <w:shd w:val="clear" w:color="auto" w:fill="F2F2F2"/>
            <w:vAlign w:val="bottom"/>
          </w:tcPr>
          <w:p w14:paraId="07F5825C" w14:textId="77777777" w:rsidR="00C277E7" w:rsidRDefault="00C277E7" w:rsidP="00071D4F">
            <w:pPr>
              <w:jc w:val="right"/>
              <w:rPr>
                <w:rFonts w:ascii="Calibri" w:hAnsi="Calibri" w:cs="Calibri"/>
                <w:color w:val="000000"/>
              </w:rPr>
            </w:pPr>
            <w:r>
              <w:rPr>
                <w:rFonts w:ascii="Calibri" w:hAnsi="Calibri" w:cs="Calibri"/>
                <w:color w:val="000000"/>
              </w:rPr>
              <w:t>-500000</w:t>
            </w:r>
          </w:p>
        </w:tc>
        <w:tc>
          <w:tcPr>
            <w:tcW w:w="992" w:type="dxa"/>
            <w:vAlign w:val="bottom"/>
          </w:tcPr>
          <w:p w14:paraId="07F5825D" w14:textId="77777777" w:rsidR="00C277E7" w:rsidRDefault="00C277E7" w:rsidP="00071D4F">
            <w:pPr>
              <w:jc w:val="right"/>
              <w:rPr>
                <w:rFonts w:ascii="Calibri" w:hAnsi="Calibri" w:cs="Calibri"/>
                <w:color w:val="000000"/>
              </w:rPr>
            </w:pPr>
          </w:p>
        </w:tc>
        <w:tc>
          <w:tcPr>
            <w:tcW w:w="992" w:type="dxa"/>
            <w:shd w:val="clear" w:color="auto" w:fill="FFFFFF" w:themeFill="background1"/>
            <w:vAlign w:val="bottom"/>
          </w:tcPr>
          <w:p w14:paraId="07F5825E" w14:textId="77777777" w:rsidR="00C277E7" w:rsidRDefault="00C277E7" w:rsidP="00071D4F">
            <w:pPr>
              <w:jc w:val="right"/>
              <w:rPr>
                <w:rFonts w:ascii="Calibri" w:hAnsi="Calibri" w:cs="Calibri"/>
                <w:color w:val="000000"/>
              </w:rPr>
            </w:pPr>
          </w:p>
        </w:tc>
        <w:tc>
          <w:tcPr>
            <w:tcW w:w="1134" w:type="dxa"/>
          </w:tcPr>
          <w:p w14:paraId="07F5825F" w14:textId="77777777" w:rsidR="00C277E7" w:rsidRDefault="00C277E7" w:rsidP="00071D4F">
            <w:pPr>
              <w:spacing w:after="0"/>
              <w:jc w:val="center"/>
            </w:pPr>
          </w:p>
        </w:tc>
        <w:tc>
          <w:tcPr>
            <w:tcW w:w="962" w:type="dxa"/>
            <w:shd w:val="clear" w:color="auto" w:fill="F2F2F2" w:themeFill="background1" w:themeFillShade="F2"/>
            <w:vAlign w:val="bottom"/>
          </w:tcPr>
          <w:p w14:paraId="07F58260" w14:textId="77777777" w:rsidR="00C277E7" w:rsidRDefault="00C277E7">
            <w:pPr>
              <w:jc w:val="right"/>
              <w:rPr>
                <w:rFonts w:ascii="Calibri" w:hAnsi="Calibri" w:cs="Calibri"/>
                <w:color w:val="000000"/>
              </w:rPr>
            </w:pPr>
            <w:r>
              <w:rPr>
                <w:rFonts w:ascii="Calibri" w:hAnsi="Calibri" w:cs="Calibri"/>
                <w:color w:val="000000"/>
              </w:rPr>
              <w:t>-500000</w:t>
            </w:r>
          </w:p>
        </w:tc>
        <w:tc>
          <w:tcPr>
            <w:tcW w:w="859" w:type="dxa"/>
            <w:vAlign w:val="bottom"/>
          </w:tcPr>
          <w:p w14:paraId="07F58261" w14:textId="77777777" w:rsidR="00C277E7" w:rsidRDefault="00C277E7" w:rsidP="00071D4F">
            <w:pPr>
              <w:jc w:val="right"/>
              <w:rPr>
                <w:rFonts w:ascii="Calibri" w:hAnsi="Calibri" w:cs="Calibri"/>
                <w:color w:val="000000"/>
              </w:rPr>
            </w:pPr>
            <w:r>
              <w:rPr>
                <w:rFonts w:ascii="Calibri" w:hAnsi="Calibri" w:cs="Calibri"/>
                <w:color w:val="000000"/>
              </w:rPr>
              <w:t>-25000</w:t>
            </w:r>
          </w:p>
        </w:tc>
        <w:tc>
          <w:tcPr>
            <w:tcW w:w="1145" w:type="dxa"/>
            <w:shd w:val="clear" w:color="auto" w:fill="F2F2F2"/>
            <w:vAlign w:val="bottom"/>
          </w:tcPr>
          <w:p w14:paraId="07F58262" w14:textId="77777777" w:rsidR="00C277E7" w:rsidRDefault="00C277E7">
            <w:pPr>
              <w:jc w:val="right"/>
              <w:rPr>
                <w:rFonts w:ascii="Calibri" w:hAnsi="Calibri" w:cs="Calibri"/>
                <w:color w:val="000000"/>
              </w:rPr>
            </w:pPr>
            <w:r>
              <w:rPr>
                <w:rFonts w:ascii="Calibri" w:hAnsi="Calibri" w:cs="Calibri"/>
                <w:color w:val="000000"/>
              </w:rPr>
              <w:t>-475000</w:t>
            </w:r>
          </w:p>
        </w:tc>
        <w:tc>
          <w:tcPr>
            <w:tcW w:w="1145" w:type="dxa"/>
            <w:shd w:val="clear" w:color="auto" w:fill="F2F2F2"/>
            <w:vAlign w:val="bottom"/>
          </w:tcPr>
          <w:p w14:paraId="07F58263" w14:textId="77777777" w:rsidR="00C277E7" w:rsidRDefault="00C277E7">
            <w:pPr>
              <w:jc w:val="right"/>
              <w:rPr>
                <w:rFonts w:ascii="Calibri" w:hAnsi="Calibri" w:cs="Calibri"/>
                <w:color w:val="000000"/>
              </w:rPr>
            </w:pPr>
            <w:r>
              <w:rPr>
                <w:rFonts w:ascii="Calibri" w:hAnsi="Calibri" w:cs="Calibri"/>
                <w:color w:val="000000"/>
              </w:rPr>
              <w:t>-25000</w:t>
            </w:r>
          </w:p>
        </w:tc>
      </w:tr>
      <w:tr w:rsidR="006141AE" w14:paraId="07F5826E" w14:textId="77777777" w:rsidTr="006141AE">
        <w:tc>
          <w:tcPr>
            <w:tcW w:w="634" w:type="dxa"/>
          </w:tcPr>
          <w:p w14:paraId="07F58265" w14:textId="77777777" w:rsidR="00C277E7" w:rsidRPr="003B3046" w:rsidRDefault="00C277E7" w:rsidP="00071D4F">
            <w:pPr>
              <w:spacing w:after="0"/>
              <w:jc w:val="center"/>
              <w:rPr>
                <w:b/>
              </w:rPr>
            </w:pPr>
            <w:r w:rsidRPr="003B3046">
              <w:rPr>
                <w:b/>
              </w:rPr>
              <w:t>1</w:t>
            </w:r>
          </w:p>
        </w:tc>
        <w:tc>
          <w:tcPr>
            <w:tcW w:w="1034" w:type="dxa"/>
            <w:shd w:val="clear" w:color="auto" w:fill="F2F2F2"/>
            <w:vAlign w:val="bottom"/>
          </w:tcPr>
          <w:p w14:paraId="07F58266" w14:textId="77777777" w:rsidR="00C277E7" w:rsidRDefault="00C277E7" w:rsidP="00071D4F">
            <w:pPr>
              <w:jc w:val="right"/>
              <w:rPr>
                <w:rFonts w:ascii="Calibri" w:hAnsi="Calibri" w:cs="Calibri"/>
                <w:color w:val="000000"/>
              </w:rPr>
            </w:pPr>
            <w:r>
              <w:rPr>
                <w:rFonts w:ascii="Calibri" w:hAnsi="Calibri" w:cs="Calibri"/>
                <w:color w:val="000000"/>
              </w:rPr>
              <w:t>131899</w:t>
            </w:r>
          </w:p>
        </w:tc>
        <w:tc>
          <w:tcPr>
            <w:tcW w:w="992" w:type="dxa"/>
            <w:vAlign w:val="bottom"/>
          </w:tcPr>
          <w:p w14:paraId="07F58267" w14:textId="77777777" w:rsidR="00C277E7" w:rsidRDefault="00C277E7">
            <w:pPr>
              <w:jc w:val="right"/>
              <w:rPr>
                <w:rFonts w:ascii="Calibri" w:hAnsi="Calibri" w:cs="Calibri"/>
                <w:color w:val="000000"/>
              </w:rPr>
            </w:pPr>
            <w:r>
              <w:rPr>
                <w:rFonts w:ascii="Calibri" w:hAnsi="Calibri" w:cs="Calibri"/>
                <w:color w:val="000000"/>
              </w:rPr>
              <w:t>-81899</w:t>
            </w:r>
          </w:p>
        </w:tc>
        <w:tc>
          <w:tcPr>
            <w:tcW w:w="992" w:type="dxa"/>
            <w:shd w:val="clear" w:color="auto" w:fill="FFFFFF" w:themeFill="background1"/>
            <w:vAlign w:val="bottom"/>
          </w:tcPr>
          <w:p w14:paraId="07F58268" w14:textId="77777777" w:rsidR="00C277E7" w:rsidRDefault="00C277E7">
            <w:pPr>
              <w:jc w:val="right"/>
              <w:rPr>
                <w:rFonts w:ascii="Calibri" w:hAnsi="Calibri" w:cs="Calibri"/>
                <w:color w:val="000000"/>
              </w:rPr>
            </w:pPr>
            <w:r>
              <w:rPr>
                <w:rFonts w:ascii="Calibri" w:hAnsi="Calibri" w:cs="Calibri"/>
                <w:color w:val="000000"/>
              </w:rPr>
              <w:t>50000</w:t>
            </w:r>
          </w:p>
        </w:tc>
        <w:tc>
          <w:tcPr>
            <w:tcW w:w="1134" w:type="dxa"/>
            <w:vAlign w:val="bottom"/>
          </w:tcPr>
          <w:p w14:paraId="07F58269" w14:textId="77777777" w:rsidR="00C277E7" w:rsidRDefault="00C277E7">
            <w:pPr>
              <w:jc w:val="right"/>
              <w:rPr>
                <w:rFonts w:ascii="Calibri" w:hAnsi="Calibri" w:cs="Calibri"/>
                <w:color w:val="000000"/>
              </w:rPr>
            </w:pPr>
            <w:r>
              <w:rPr>
                <w:rFonts w:ascii="Calibri" w:hAnsi="Calibri" w:cs="Calibri"/>
                <w:color w:val="000000"/>
              </w:rPr>
              <w:t>15000</w:t>
            </w:r>
          </w:p>
        </w:tc>
        <w:tc>
          <w:tcPr>
            <w:tcW w:w="962" w:type="dxa"/>
            <w:shd w:val="clear" w:color="auto" w:fill="F2F2F2" w:themeFill="background1" w:themeFillShade="F2"/>
            <w:vAlign w:val="bottom"/>
          </w:tcPr>
          <w:p w14:paraId="07F5826A" w14:textId="77777777" w:rsidR="00C277E7" w:rsidRDefault="00C277E7">
            <w:pPr>
              <w:jc w:val="right"/>
              <w:rPr>
                <w:rFonts w:ascii="Calibri" w:hAnsi="Calibri" w:cs="Calibri"/>
                <w:color w:val="000000"/>
              </w:rPr>
            </w:pPr>
            <w:r>
              <w:rPr>
                <w:rFonts w:ascii="Calibri" w:hAnsi="Calibri" w:cs="Calibri"/>
                <w:color w:val="000000"/>
              </w:rPr>
              <w:t>116899</w:t>
            </w:r>
          </w:p>
        </w:tc>
        <w:tc>
          <w:tcPr>
            <w:tcW w:w="859" w:type="dxa"/>
            <w:vAlign w:val="bottom"/>
          </w:tcPr>
          <w:p w14:paraId="07F5826B" w14:textId="77777777" w:rsidR="00C277E7" w:rsidRDefault="00C277E7" w:rsidP="00071D4F">
            <w:pPr>
              <w:jc w:val="right"/>
              <w:rPr>
                <w:rFonts w:ascii="Calibri" w:hAnsi="Calibri" w:cs="Calibri"/>
                <w:color w:val="000000"/>
              </w:rPr>
            </w:pPr>
            <w:r>
              <w:rPr>
                <w:rFonts w:ascii="Calibri" w:hAnsi="Calibri" w:cs="Calibri"/>
                <w:color w:val="000000"/>
              </w:rPr>
              <w:t>6595</w:t>
            </w:r>
          </w:p>
        </w:tc>
        <w:tc>
          <w:tcPr>
            <w:tcW w:w="1145" w:type="dxa"/>
            <w:shd w:val="clear" w:color="auto" w:fill="F2F2F2"/>
            <w:vAlign w:val="bottom"/>
          </w:tcPr>
          <w:p w14:paraId="07F5826C" w14:textId="77777777" w:rsidR="00C277E7" w:rsidRDefault="00C277E7">
            <w:pPr>
              <w:jc w:val="right"/>
              <w:rPr>
                <w:rFonts w:ascii="Calibri" w:hAnsi="Calibri" w:cs="Calibri"/>
                <w:color w:val="000000"/>
              </w:rPr>
            </w:pPr>
            <w:r>
              <w:rPr>
                <w:rFonts w:ascii="Calibri" w:hAnsi="Calibri" w:cs="Calibri"/>
                <w:color w:val="000000"/>
              </w:rPr>
              <w:t>110304</w:t>
            </w:r>
          </w:p>
        </w:tc>
        <w:tc>
          <w:tcPr>
            <w:tcW w:w="1145" w:type="dxa"/>
            <w:shd w:val="clear" w:color="auto" w:fill="F2F2F2"/>
            <w:vAlign w:val="bottom"/>
          </w:tcPr>
          <w:p w14:paraId="07F5826D" w14:textId="77777777" w:rsidR="00C277E7" w:rsidRDefault="00C277E7">
            <w:pPr>
              <w:jc w:val="right"/>
              <w:rPr>
                <w:rFonts w:ascii="Calibri" w:hAnsi="Calibri" w:cs="Calibri"/>
                <w:color w:val="000000"/>
              </w:rPr>
            </w:pPr>
            <w:r>
              <w:rPr>
                <w:rFonts w:ascii="Calibri" w:hAnsi="Calibri" w:cs="Calibri"/>
                <w:color w:val="000000"/>
              </w:rPr>
              <w:t>21595</w:t>
            </w:r>
          </w:p>
        </w:tc>
      </w:tr>
      <w:tr w:rsidR="006141AE" w14:paraId="07F58278" w14:textId="77777777" w:rsidTr="006141AE">
        <w:tc>
          <w:tcPr>
            <w:tcW w:w="634" w:type="dxa"/>
          </w:tcPr>
          <w:p w14:paraId="07F5826F" w14:textId="77777777" w:rsidR="00C277E7" w:rsidRPr="003B3046" w:rsidRDefault="00C277E7" w:rsidP="00071D4F">
            <w:pPr>
              <w:spacing w:after="0"/>
              <w:jc w:val="center"/>
              <w:rPr>
                <w:b/>
              </w:rPr>
            </w:pPr>
            <w:r>
              <w:rPr>
                <w:b/>
              </w:rPr>
              <w:t>2</w:t>
            </w:r>
          </w:p>
        </w:tc>
        <w:tc>
          <w:tcPr>
            <w:tcW w:w="1034" w:type="dxa"/>
            <w:shd w:val="clear" w:color="auto" w:fill="F2F2F2"/>
            <w:vAlign w:val="bottom"/>
          </w:tcPr>
          <w:p w14:paraId="07F58270" w14:textId="77777777" w:rsidR="00C277E7" w:rsidRDefault="00C277E7" w:rsidP="00071D4F">
            <w:pPr>
              <w:jc w:val="right"/>
              <w:rPr>
                <w:rFonts w:ascii="Calibri" w:hAnsi="Calibri" w:cs="Calibri"/>
                <w:color w:val="000000"/>
              </w:rPr>
            </w:pPr>
            <w:r>
              <w:rPr>
                <w:rFonts w:ascii="Calibri" w:hAnsi="Calibri" w:cs="Calibri"/>
                <w:color w:val="000000"/>
              </w:rPr>
              <w:t>131899</w:t>
            </w:r>
          </w:p>
        </w:tc>
        <w:tc>
          <w:tcPr>
            <w:tcW w:w="992" w:type="dxa"/>
            <w:vAlign w:val="bottom"/>
          </w:tcPr>
          <w:p w14:paraId="07F58271" w14:textId="77777777" w:rsidR="00C277E7" w:rsidRDefault="00C277E7">
            <w:pPr>
              <w:jc w:val="right"/>
              <w:rPr>
                <w:rFonts w:ascii="Calibri" w:hAnsi="Calibri" w:cs="Calibri"/>
                <w:color w:val="000000"/>
              </w:rPr>
            </w:pPr>
            <w:r>
              <w:rPr>
                <w:rFonts w:ascii="Calibri" w:hAnsi="Calibri" w:cs="Calibri"/>
                <w:color w:val="000000"/>
              </w:rPr>
              <w:t>-90089</w:t>
            </w:r>
          </w:p>
        </w:tc>
        <w:tc>
          <w:tcPr>
            <w:tcW w:w="992" w:type="dxa"/>
            <w:shd w:val="clear" w:color="auto" w:fill="FFFFFF" w:themeFill="background1"/>
            <w:vAlign w:val="bottom"/>
          </w:tcPr>
          <w:p w14:paraId="07F58272" w14:textId="77777777" w:rsidR="00C277E7" w:rsidRDefault="00C277E7">
            <w:pPr>
              <w:jc w:val="right"/>
              <w:rPr>
                <w:rFonts w:ascii="Calibri" w:hAnsi="Calibri" w:cs="Calibri"/>
                <w:color w:val="000000"/>
              </w:rPr>
            </w:pPr>
            <w:r>
              <w:rPr>
                <w:rFonts w:ascii="Calibri" w:hAnsi="Calibri" w:cs="Calibri"/>
                <w:color w:val="000000"/>
              </w:rPr>
              <w:t>41810</w:t>
            </w:r>
          </w:p>
        </w:tc>
        <w:tc>
          <w:tcPr>
            <w:tcW w:w="1134" w:type="dxa"/>
            <w:vAlign w:val="bottom"/>
          </w:tcPr>
          <w:p w14:paraId="07F58273" w14:textId="77777777" w:rsidR="00C277E7" w:rsidRDefault="00C277E7">
            <w:pPr>
              <w:jc w:val="right"/>
              <w:rPr>
                <w:rFonts w:ascii="Calibri" w:hAnsi="Calibri" w:cs="Calibri"/>
                <w:color w:val="000000"/>
              </w:rPr>
            </w:pPr>
            <w:r>
              <w:rPr>
                <w:rFonts w:ascii="Calibri" w:hAnsi="Calibri" w:cs="Calibri"/>
                <w:color w:val="000000"/>
              </w:rPr>
              <w:t>12543</w:t>
            </w:r>
          </w:p>
        </w:tc>
        <w:tc>
          <w:tcPr>
            <w:tcW w:w="962" w:type="dxa"/>
            <w:shd w:val="clear" w:color="auto" w:fill="F2F2F2" w:themeFill="background1" w:themeFillShade="F2"/>
            <w:vAlign w:val="bottom"/>
          </w:tcPr>
          <w:p w14:paraId="07F58274" w14:textId="77777777" w:rsidR="00C277E7" w:rsidRDefault="00C277E7">
            <w:pPr>
              <w:jc w:val="right"/>
              <w:rPr>
                <w:rFonts w:ascii="Calibri" w:hAnsi="Calibri" w:cs="Calibri"/>
                <w:color w:val="000000"/>
              </w:rPr>
            </w:pPr>
            <w:r>
              <w:rPr>
                <w:rFonts w:ascii="Calibri" w:hAnsi="Calibri" w:cs="Calibri"/>
                <w:color w:val="000000"/>
              </w:rPr>
              <w:t>119356</w:t>
            </w:r>
          </w:p>
        </w:tc>
        <w:tc>
          <w:tcPr>
            <w:tcW w:w="859" w:type="dxa"/>
            <w:vAlign w:val="bottom"/>
          </w:tcPr>
          <w:p w14:paraId="07F58275" w14:textId="77777777" w:rsidR="00C277E7" w:rsidRDefault="00C277E7" w:rsidP="00071D4F">
            <w:pPr>
              <w:jc w:val="right"/>
              <w:rPr>
                <w:rFonts w:ascii="Calibri" w:hAnsi="Calibri" w:cs="Calibri"/>
                <w:color w:val="000000"/>
              </w:rPr>
            </w:pPr>
            <w:r>
              <w:rPr>
                <w:rFonts w:ascii="Calibri" w:hAnsi="Calibri" w:cs="Calibri"/>
                <w:color w:val="000000"/>
              </w:rPr>
              <w:t>6595</w:t>
            </w:r>
          </w:p>
        </w:tc>
        <w:tc>
          <w:tcPr>
            <w:tcW w:w="1145" w:type="dxa"/>
            <w:shd w:val="clear" w:color="auto" w:fill="F2F2F2"/>
            <w:vAlign w:val="bottom"/>
          </w:tcPr>
          <w:p w14:paraId="07F58276" w14:textId="77777777" w:rsidR="00C277E7" w:rsidRDefault="00C277E7">
            <w:pPr>
              <w:jc w:val="right"/>
              <w:rPr>
                <w:rFonts w:ascii="Calibri" w:hAnsi="Calibri" w:cs="Calibri"/>
                <w:color w:val="000000"/>
              </w:rPr>
            </w:pPr>
            <w:r>
              <w:rPr>
                <w:rFonts w:ascii="Calibri" w:hAnsi="Calibri" w:cs="Calibri"/>
                <w:color w:val="000000"/>
              </w:rPr>
              <w:t>112761</w:t>
            </w:r>
          </w:p>
        </w:tc>
        <w:tc>
          <w:tcPr>
            <w:tcW w:w="1145" w:type="dxa"/>
            <w:shd w:val="clear" w:color="auto" w:fill="F2F2F2"/>
            <w:vAlign w:val="bottom"/>
          </w:tcPr>
          <w:p w14:paraId="07F58277" w14:textId="77777777" w:rsidR="00C277E7" w:rsidRDefault="00C277E7">
            <w:pPr>
              <w:jc w:val="right"/>
              <w:rPr>
                <w:rFonts w:ascii="Calibri" w:hAnsi="Calibri" w:cs="Calibri"/>
                <w:color w:val="000000"/>
              </w:rPr>
            </w:pPr>
            <w:r>
              <w:rPr>
                <w:rFonts w:ascii="Calibri" w:hAnsi="Calibri" w:cs="Calibri"/>
                <w:color w:val="000000"/>
              </w:rPr>
              <w:t>19138</w:t>
            </w:r>
          </w:p>
        </w:tc>
      </w:tr>
      <w:tr w:rsidR="006141AE" w14:paraId="07F58282" w14:textId="77777777" w:rsidTr="006141AE">
        <w:tc>
          <w:tcPr>
            <w:tcW w:w="634" w:type="dxa"/>
          </w:tcPr>
          <w:p w14:paraId="07F58279" w14:textId="77777777" w:rsidR="00C277E7" w:rsidRPr="003B3046" w:rsidRDefault="00C277E7" w:rsidP="00071D4F">
            <w:pPr>
              <w:spacing w:after="0"/>
              <w:jc w:val="center"/>
              <w:rPr>
                <w:b/>
              </w:rPr>
            </w:pPr>
            <w:r w:rsidRPr="003B3046">
              <w:rPr>
                <w:b/>
              </w:rPr>
              <w:t>3</w:t>
            </w:r>
          </w:p>
        </w:tc>
        <w:tc>
          <w:tcPr>
            <w:tcW w:w="1034" w:type="dxa"/>
            <w:shd w:val="clear" w:color="auto" w:fill="F2F2F2"/>
            <w:vAlign w:val="bottom"/>
          </w:tcPr>
          <w:p w14:paraId="07F5827A" w14:textId="77777777" w:rsidR="00C277E7" w:rsidRDefault="00C277E7" w:rsidP="00071D4F">
            <w:pPr>
              <w:jc w:val="right"/>
              <w:rPr>
                <w:rFonts w:ascii="Calibri" w:hAnsi="Calibri" w:cs="Calibri"/>
                <w:color w:val="000000"/>
              </w:rPr>
            </w:pPr>
            <w:r>
              <w:rPr>
                <w:rFonts w:ascii="Calibri" w:hAnsi="Calibri" w:cs="Calibri"/>
                <w:color w:val="000000"/>
              </w:rPr>
              <w:t>131899</w:t>
            </w:r>
          </w:p>
        </w:tc>
        <w:tc>
          <w:tcPr>
            <w:tcW w:w="992" w:type="dxa"/>
            <w:vAlign w:val="bottom"/>
          </w:tcPr>
          <w:p w14:paraId="07F5827B" w14:textId="77777777" w:rsidR="00C277E7" w:rsidRDefault="00C277E7">
            <w:pPr>
              <w:jc w:val="right"/>
              <w:rPr>
                <w:rFonts w:ascii="Calibri" w:hAnsi="Calibri" w:cs="Calibri"/>
                <w:color w:val="000000"/>
              </w:rPr>
            </w:pPr>
            <w:r>
              <w:rPr>
                <w:rFonts w:ascii="Calibri" w:hAnsi="Calibri" w:cs="Calibri"/>
                <w:color w:val="000000"/>
              </w:rPr>
              <w:t>-99098</w:t>
            </w:r>
          </w:p>
        </w:tc>
        <w:tc>
          <w:tcPr>
            <w:tcW w:w="992" w:type="dxa"/>
            <w:shd w:val="clear" w:color="auto" w:fill="FFFFFF" w:themeFill="background1"/>
            <w:vAlign w:val="bottom"/>
          </w:tcPr>
          <w:p w14:paraId="07F5827C" w14:textId="77777777" w:rsidR="00C277E7" w:rsidRDefault="00C277E7">
            <w:pPr>
              <w:jc w:val="right"/>
              <w:rPr>
                <w:rFonts w:ascii="Calibri" w:hAnsi="Calibri" w:cs="Calibri"/>
                <w:color w:val="000000"/>
              </w:rPr>
            </w:pPr>
            <w:r>
              <w:rPr>
                <w:rFonts w:ascii="Calibri" w:hAnsi="Calibri" w:cs="Calibri"/>
                <w:color w:val="000000"/>
              </w:rPr>
              <w:t>32801</w:t>
            </w:r>
          </w:p>
        </w:tc>
        <w:tc>
          <w:tcPr>
            <w:tcW w:w="1134" w:type="dxa"/>
            <w:vAlign w:val="bottom"/>
          </w:tcPr>
          <w:p w14:paraId="07F5827D" w14:textId="77777777" w:rsidR="00C277E7" w:rsidRDefault="00C277E7">
            <w:pPr>
              <w:jc w:val="right"/>
              <w:rPr>
                <w:rFonts w:ascii="Calibri" w:hAnsi="Calibri" w:cs="Calibri"/>
                <w:color w:val="000000"/>
              </w:rPr>
            </w:pPr>
            <w:r>
              <w:rPr>
                <w:rFonts w:ascii="Calibri" w:hAnsi="Calibri" w:cs="Calibri"/>
                <w:color w:val="000000"/>
              </w:rPr>
              <w:t>9840</w:t>
            </w:r>
          </w:p>
        </w:tc>
        <w:tc>
          <w:tcPr>
            <w:tcW w:w="962" w:type="dxa"/>
            <w:shd w:val="clear" w:color="auto" w:fill="F2F2F2" w:themeFill="background1" w:themeFillShade="F2"/>
            <w:vAlign w:val="bottom"/>
          </w:tcPr>
          <w:p w14:paraId="07F5827E" w14:textId="77777777" w:rsidR="00C277E7" w:rsidRDefault="00C277E7">
            <w:pPr>
              <w:jc w:val="right"/>
              <w:rPr>
                <w:rFonts w:ascii="Calibri" w:hAnsi="Calibri" w:cs="Calibri"/>
                <w:color w:val="000000"/>
              </w:rPr>
            </w:pPr>
            <w:r>
              <w:rPr>
                <w:rFonts w:ascii="Calibri" w:hAnsi="Calibri" w:cs="Calibri"/>
                <w:color w:val="000000"/>
              </w:rPr>
              <w:t>122059</w:t>
            </w:r>
          </w:p>
        </w:tc>
        <w:tc>
          <w:tcPr>
            <w:tcW w:w="859" w:type="dxa"/>
            <w:vAlign w:val="bottom"/>
          </w:tcPr>
          <w:p w14:paraId="07F5827F" w14:textId="77777777" w:rsidR="00C277E7" w:rsidRDefault="00C277E7" w:rsidP="00071D4F">
            <w:pPr>
              <w:jc w:val="right"/>
              <w:rPr>
                <w:rFonts w:ascii="Calibri" w:hAnsi="Calibri" w:cs="Calibri"/>
                <w:color w:val="000000"/>
              </w:rPr>
            </w:pPr>
            <w:r>
              <w:rPr>
                <w:rFonts w:ascii="Calibri" w:hAnsi="Calibri" w:cs="Calibri"/>
                <w:color w:val="000000"/>
              </w:rPr>
              <w:t>6595</w:t>
            </w:r>
          </w:p>
        </w:tc>
        <w:tc>
          <w:tcPr>
            <w:tcW w:w="1145" w:type="dxa"/>
            <w:shd w:val="clear" w:color="auto" w:fill="F2F2F2"/>
            <w:vAlign w:val="bottom"/>
          </w:tcPr>
          <w:p w14:paraId="07F58280" w14:textId="77777777" w:rsidR="00C277E7" w:rsidRDefault="00C277E7">
            <w:pPr>
              <w:jc w:val="right"/>
              <w:rPr>
                <w:rFonts w:ascii="Calibri" w:hAnsi="Calibri" w:cs="Calibri"/>
                <w:color w:val="000000"/>
              </w:rPr>
            </w:pPr>
            <w:r>
              <w:rPr>
                <w:rFonts w:ascii="Calibri" w:hAnsi="Calibri" w:cs="Calibri"/>
                <w:color w:val="000000"/>
              </w:rPr>
              <w:t>115464</w:t>
            </w:r>
          </w:p>
        </w:tc>
        <w:tc>
          <w:tcPr>
            <w:tcW w:w="1145" w:type="dxa"/>
            <w:shd w:val="clear" w:color="auto" w:fill="F2F2F2"/>
            <w:vAlign w:val="bottom"/>
          </w:tcPr>
          <w:p w14:paraId="07F58281" w14:textId="77777777" w:rsidR="00C277E7" w:rsidRDefault="00C277E7">
            <w:pPr>
              <w:jc w:val="right"/>
              <w:rPr>
                <w:rFonts w:ascii="Calibri" w:hAnsi="Calibri" w:cs="Calibri"/>
                <w:color w:val="000000"/>
              </w:rPr>
            </w:pPr>
            <w:r>
              <w:rPr>
                <w:rFonts w:ascii="Calibri" w:hAnsi="Calibri" w:cs="Calibri"/>
                <w:color w:val="000000"/>
              </w:rPr>
              <w:t>16435</w:t>
            </w:r>
          </w:p>
        </w:tc>
      </w:tr>
      <w:tr w:rsidR="006141AE" w14:paraId="07F5828C" w14:textId="77777777" w:rsidTr="006141AE">
        <w:tc>
          <w:tcPr>
            <w:tcW w:w="634" w:type="dxa"/>
          </w:tcPr>
          <w:p w14:paraId="07F58283" w14:textId="77777777" w:rsidR="00C277E7" w:rsidRPr="003B3046" w:rsidRDefault="00C277E7" w:rsidP="00071D4F">
            <w:pPr>
              <w:spacing w:after="0"/>
              <w:jc w:val="center"/>
              <w:rPr>
                <w:b/>
              </w:rPr>
            </w:pPr>
            <w:r w:rsidRPr="003B3046">
              <w:rPr>
                <w:b/>
              </w:rPr>
              <w:t>4</w:t>
            </w:r>
          </w:p>
        </w:tc>
        <w:tc>
          <w:tcPr>
            <w:tcW w:w="1034" w:type="dxa"/>
            <w:shd w:val="clear" w:color="auto" w:fill="F2F2F2"/>
            <w:vAlign w:val="bottom"/>
          </w:tcPr>
          <w:p w14:paraId="07F58284" w14:textId="77777777" w:rsidR="00C277E7" w:rsidRDefault="00C277E7" w:rsidP="00071D4F">
            <w:pPr>
              <w:jc w:val="right"/>
              <w:rPr>
                <w:rFonts w:ascii="Calibri" w:hAnsi="Calibri" w:cs="Calibri"/>
                <w:color w:val="000000"/>
              </w:rPr>
            </w:pPr>
            <w:r>
              <w:rPr>
                <w:rFonts w:ascii="Calibri" w:hAnsi="Calibri" w:cs="Calibri"/>
                <w:color w:val="000000"/>
              </w:rPr>
              <w:t>131899</w:t>
            </w:r>
          </w:p>
        </w:tc>
        <w:tc>
          <w:tcPr>
            <w:tcW w:w="992" w:type="dxa"/>
            <w:vAlign w:val="bottom"/>
          </w:tcPr>
          <w:p w14:paraId="07F58285" w14:textId="77777777" w:rsidR="00C277E7" w:rsidRDefault="00C277E7">
            <w:pPr>
              <w:jc w:val="right"/>
              <w:rPr>
                <w:rFonts w:ascii="Calibri" w:hAnsi="Calibri" w:cs="Calibri"/>
                <w:color w:val="000000"/>
              </w:rPr>
            </w:pPr>
            <w:r>
              <w:rPr>
                <w:rFonts w:ascii="Calibri" w:hAnsi="Calibri" w:cs="Calibri"/>
                <w:color w:val="000000"/>
              </w:rPr>
              <w:t>-109008</w:t>
            </w:r>
          </w:p>
        </w:tc>
        <w:tc>
          <w:tcPr>
            <w:tcW w:w="992" w:type="dxa"/>
            <w:shd w:val="clear" w:color="auto" w:fill="FFFFFF" w:themeFill="background1"/>
            <w:vAlign w:val="bottom"/>
          </w:tcPr>
          <w:p w14:paraId="07F58286" w14:textId="77777777" w:rsidR="00C277E7" w:rsidRDefault="00C277E7">
            <w:pPr>
              <w:jc w:val="right"/>
              <w:rPr>
                <w:rFonts w:ascii="Calibri" w:hAnsi="Calibri" w:cs="Calibri"/>
                <w:color w:val="000000"/>
              </w:rPr>
            </w:pPr>
            <w:r>
              <w:rPr>
                <w:rFonts w:ascii="Calibri" w:hAnsi="Calibri" w:cs="Calibri"/>
                <w:color w:val="000000"/>
              </w:rPr>
              <w:t>22891</w:t>
            </w:r>
          </w:p>
        </w:tc>
        <w:tc>
          <w:tcPr>
            <w:tcW w:w="1134" w:type="dxa"/>
            <w:vAlign w:val="bottom"/>
          </w:tcPr>
          <w:p w14:paraId="07F58287" w14:textId="77777777" w:rsidR="00C277E7" w:rsidRDefault="00C277E7">
            <w:pPr>
              <w:jc w:val="right"/>
              <w:rPr>
                <w:rFonts w:ascii="Calibri" w:hAnsi="Calibri" w:cs="Calibri"/>
                <w:color w:val="000000"/>
              </w:rPr>
            </w:pPr>
            <w:r>
              <w:rPr>
                <w:rFonts w:ascii="Calibri" w:hAnsi="Calibri" w:cs="Calibri"/>
                <w:color w:val="000000"/>
              </w:rPr>
              <w:t>6867</w:t>
            </w:r>
          </w:p>
        </w:tc>
        <w:tc>
          <w:tcPr>
            <w:tcW w:w="962" w:type="dxa"/>
            <w:shd w:val="clear" w:color="auto" w:fill="F2F2F2" w:themeFill="background1" w:themeFillShade="F2"/>
            <w:vAlign w:val="bottom"/>
          </w:tcPr>
          <w:p w14:paraId="07F58288" w14:textId="77777777" w:rsidR="00C277E7" w:rsidRDefault="00C277E7">
            <w:pPr>
              <w:jc w:val="right"/>
              <w:rPr>
                <w:rFonts w:ascii="Calibri" w:hAnsi="Calibri" w:cs="Calibri"/>
                <w:color w:val="000000"/>
              </w:rPr>
            </w:pPr>
            <w:r>
              <w:rPr>
                <w:rFonts w:ascii="Calibri" w:hAnsi="Calibri" w:cs="Calibri"/>
                <w:color w:val="000000"/>
              </w:rPr>
              <w:t>125032</w:t>
            </w:r>
          </w:p>
        </w:tc>
        <w:tc>
          <w:tcPr>
            <w:tcW w:w="859" w:type="dxa"/>
            <w:vAlign w:val="bottom"/>
          </w:tcPr>
          <w:p w14:paraId="07F58289" w14:textId="77777777" w:rsidR="00C277E7" w:rsidRDefault="00C277E7" w:rsidP="00071D4F">
            <w:pPr>
              <w:jc w:val="right"/>
              <w:rPr>
                <w:rFonts w:ascii="Calibri" w:hAnsi="Calibri" w:cs="Calibri"/>
                <w:color w:val="000000"/>
              </w:rPr>
            </w:pPr>
            <w:r>
              <w:rPr>
                <w:rFonts w:ascii="Calibri" w:hAnsi="Calibri" w:cs="Calibri"/>
                <w:color w:val="000000"/>
              </w:rPr>
              <w:t>6595</w:t>
            </w:r>
          </w:p>
        </w:tc>
        <w:tc>
          <w:tcPr>
            <w:tcW w:w="1145" w:type="dxa"/>
            <w:shd w:val="clear" w:color="auto" w:fill="F2F2F2"/>
            <w:vAlign w:val="bottom"/>
          </w:tcPr>
          <w:p w14:paraId="07F5828A" w14:textId="77777777" w:rsidR="00C277E7" w:rsidRDefault="00C277E7">
            <w:pPr>
              <w:jc w:val="right"/>
              <w:rPr>
                <w:rFonts w:ascii="Calibri" w:hAnsi="Calibri" w:cs="Calibri"/>
                <w:color w:val="000000"/>
              </w:rPr>
            </w:pPr>
            <w:r>
              <w:rPr>
                <w:rFonts w:ascii="Calibri" w:hAnsi="Calibri" w:cs="Calibri"/>
                <w:color w:val="000000"/>
              </w:rPr>
              <w:t>118437</w:t>
            </w:r>
          </w:p>
        </w:tc>
        <w:tc>
          <w:tcPr>
            <w:tcW w:w="1145" w:type="dxa"/>
            <w:shd w:val="clear" w:color="auto" w:fill="F2F2F2"/>
            <w:vAlign w:val="bottom"/>
          </w:tcPr>
          <w:p w14:paraId="07F5828B" w14:textId="77777777" w:rsidR="00C277E7" w:rsidRDefault="00C277E7">
            <w:pPr>
              <w:jc w:val="right"/>
              <w:rPr>
                <w:rFonts w:ascii="Calibri" w:hAnsi="Calibri" w:cs="Calibri"/>
                <w:color w:val="000000"/>
              </w:rPr>
            </w:pPr>
            <w:r>
              <w:rPr>
                <w:rFonts w:ascii="Calibri" w:hAnsi="Calibri" w:cs="Calibri"/>
                <w:color w:val="000000"/>
              </w:rPr>
              <w:t>13462</w:t>
            </w:r>
          </w:p>
        </w:tc>
      </w:tr>
      <w:tr w:rsidR="006141AE" w14:paraId="07F58296" w14:textId="77777777" w:rsidTr="006141AE">
        <w:tc>
          <w:tcPr>
            <w:tcW w:w="634" w:type="dxa"/>
            <w:tcBorders>
              <w:bottom w:val="single" w:sz="4" w:space="0" w:color="auto"/>
            </w:tcBorders>
          </w:tcPr>
          <w:p w14:paraId="07F5828D" w14:textId="77777777" w:rsidR="00C277E7" w:rsidRPr="003B3046" w:rsidRDefault="00C277E7" w:rsidP="00071D4F">
            <w:pPr>
              <w:spacing w:after="0"/>
              <w:jc w:val="center"/>
              <w:rPr>
                <w:b/>
              </w:rPr>
            </w:pPr>
            <w:r w:rsidRPr="003B3046">
              <w:rPr>
                <w:b/>
              </w:rPr>
              <w:t>5</w:t>
            </w:r>
          </w:p>
        </w:tc>
        <w:tc>
          <w:tcPr>
            <w:tcW w:w="1034" w:type="dxa"/>
            <w:tcBorders>
              <w:bottom w:val="single" w:sz="4" w:space="0" w:color="auto"/>
            </w:tcBorders>
            <w:shd w:val="clear" w:color="auto" w:fill="F2F2F2"/>
            <w:vAlign w:val="bottom"/>
          </w:tcPr>
          <w:p w14:paraId="07F5828E" w14:textId="77777777" w:rsidR="00C277E7" w:rsidRDefault="00C277E7" w:rsidP="00071D4F">
            <w:pPr>
              <w:jc w:val="right"/>
              <w:rPr>
                <w:rFonts w:ascii="Calibri" w:hAnsi="Calibri" w:cs="Calibri"/>
                <w:color w:val="000000"/>
              </w:rPr>
            </w:pPr>
            <w:r>
              <w:rPr>
                <w:rFonts w:ascii="Calibri" w:hAnsi="Calibri" w:cs="Calibri"/>
                <w:color w:val="000000"/>
              </w:rPr>
              <w:t>131899</w:t>
            </w:r>
          </w:p>
        </w:tc>
        <w:tc>
          <w:tcPr>
            <w:tcW w:w="992" w:type="dxa"/>
            <w:tcBorders>
              <w:bottom w:val="single" w:sz="4" w:space="0" w:color="auto"/>
            </w:tcBorders>
            <w:vAlign w:val="bottom"/>
          </w:tcPr>
          <w:p w14:paraId="07F5828F" w14:textId="77777777" w:rsidR="00C277E7" w:rsidRDefault="00C277E7">
            <w:pPr>
              <w:jc w:val="right"/>
              <w:rPr>
                <w:rFonts w:ascii="Calibri" w:hAnsi="Calibri" w:cs="Calibri"/>
                <w:color w:val="000000"/>
              </w:rPr>
            </w:pPr>
            <w:r>
              <w:rPr>
                <w:rFonts w:ascii="Calibri" w:hAnsi="Calibri" w:cs="Calibri"/>
                <w:color w:val="000000"/>
              </w:rPr>
              <w:t>-119908</w:t>
            </w:r>
          </w:p>
        </w:tc>
        <w:tc>
          <w:tcPr>
            <w:tcW w:w="992" w:type="dxa"/>
            <w:tcBorders>
              <w:bottom w:val="single" w:sz="4" w:space="0" w:color="auto"/>
            </w:tcBorders>
            <w:shd w:val="clear" w:color="auto" w:fill="FFFFFF" w:themeFill="background1"/>
            <w:vAlign w:val="bottom"/>
          </w:tcPr>
          <w:p w14:paraId="07F58290" w14:textId="77777777" w:rsidR="00C277E7" w:rsidRDefault="00C277E7">
            <w:pPr>
              <w:jc w:val="right"/>
              <w:rPr>
                <w:rFonts w:ascii="Calibri" w:hAnsi="Calibri" w:cs="Calibri"/>
                <w:color w:val="000000"/>
              </w:rPr>
            </w:pPr>
            <w:r>
              <w:rPr>
                <w:rFonts w:ascii="Calibri" w:hAnsi="Calibri" w:cs="Calibri"/>
                <w:color w:val="000000"/>
              </w:rPr>
              <w:t>11991</w:t>
            </w:r>
          </w:p>
        </w:tc>
        <w:tc>
          <w:tcPr>
            <w:tcW w:w="1134" w:type="dxa"/>
            <w:tcBorders>
              <w:bottom w:val="single" w:sz="4" w:space="0" w:color="auto"/>
            </w:tcBorders>
            <w:vAlign w:val="bottom"/>
          </w:tcPr>
          <w:p w14:paraId="07F58291" w14:textId="77777777" w:rsidR="00C277E7" w:rsidRDefault="00C277E7">
            <w:pPr>
              <w:jc w:val="right"/>
              <w:rPr>
                <w:rFonts w:ascii="Calibri" w:hAnsi="Calibri" w:cs="Calibri"/>
                <w:color w:val="000000"/>
              </w:rPr>
            </w:pPr>
            <w:r>
              <w:rPr>
                <w:rFonts w:ascii="Calibri" w:hAnsi="Calibri" w:cs="Calibri"/>
                <w:color w:val="000000"/>
              </w:rPr>
              <w:t>3597</w:t>
            </w:r>
          </w:p>
        </w:tc>
        <w:tc>
          <w:tcPr>
            <w:tcW w:w="962" w:type="dxa"/>
            <w:tcBorders>
              <w:bottom w:val="single" w:sz="4" w:space="0" w:color="auto"/>
            </w:tcBorders>
            <w:shd w:val="clear" w:color="auto" w:fill="F2F2F2" w:themeFill="background1" w:themeFillShade="F2"/>
            <w:vAlign w:val="bottom"/>
          </w:tcPr>
          <w:p w14:paraId="07F58292" w14:textId="77777777" w:rsidR="00C277E7" w:rsidRDefault="00C277E7">
            <w:pPr>
              <w:jc w:val="right"/>
              <w:rPr>
                <w:rFonts w:ascii="Calibri" w:hAnsi="Calibri" w:cs="Calibri"/>
                <w:color w:val="000000"/>
              </w:rPr>
            </w:pPr>
            <w:r>
              <w:rPr>
                <w:rFonts w:ascii="Calibri" w:hAnsi="Calibri" w:cs="Calibri"/>
                <w:color w:val="000000"/>
              </w:rPr>
              <w:t>128302</w:t>
            </w:r>
          </w:p>
        </w:tc>
        <w:tc>
          <w:tcPr>
            <w:tcW w:w="859" w:type="dxa"/>
            <w:tcBorders>
              <w:bottom w:val="single" w:sz="4" w:space="0" w:color="auto"/>
            </w:tcBorders>
            <w:vAlign w:val="bottom"/>
          </w:tcPr>
          <w:p w14:paraId="07F58293" w14:textId="77777777" w:rsidR="00C277E7" w:rsidRDefault="00C277E7" w:rsidP="00071D4F">
            <w:pPr>
              <w:jc w:val="right"/>
              <w:rPr>
                <w:rFonts w:ascii="Calibri" w:hAnsi="Calibri" w:cs="Calibri"/>
                <w:color w:val="000000"/>
              </w:rPr>
            </w:pPr>
            <w:r>
              <w:rPr>
                <w:rFonts w:ascii="Calibri" w:hAnsi="Calibri" w:cs="Calibri"/>
                <w:color w:val="000000"/>
              </w:rPr>
              <w:t>6595</w:t>
            </w:r>
          </w:p>
        </w:tc>
        <w:tc>
          <w:tcPr>
            <w:tcW w:w="1145" w:type="dxa"/>
            <w:tcBorders>
              <w:bottom w:val="single" w:sz="4" w:space="0" w:color="auto"/>
            </w:tcBorders>
            <w:shd w:val="clear" w:color="auto" w:fill="F2F2F2"/>
            <w:vAlign w:val="bottom"/>
          </w:tcPr>
          <w:p w14:paraId="07F58294" w14:textId="77777777" w:rsidR="00C277E7" w:rsidRDefault="00C277E7">
            <w:pPr>
              <w:jc w:val="right"/>
              <w:rPr>
                <w:rFonts w:ascii="Calibri" w:hAnsi="Calibri" w:cs="Calibri"/>
                <w:color w:val="000000"/>
              </w:rPr>
            </w:pPr>
            <w:r>
              <w:rPr>
                <w:rFonts w:ascii="Calibri" w:hAnsi="Calibri" w:cs="Calibri"/>
                <w:color w:val="000000"/>
              </w:rPr>
              <w:t>121707</w:t>
            </w:r>
          </w:p>
        </w:tc>
        <w:tc>
          <w:tcPr>
            <w:tcW w:w="1145" w:type="dxa"/>
            <w:tcBorders>
              <w:bottom w:val="single" w:sz="4" w:space="0" w:color="auto"/>
            </w:tcBorders>
            <w:shd w:val="clear" w:color="auto" w:fill="F2F2F2"/>
            <w:vAlign w:val="bottom"/>
          </w:tcPr>
          <w:p w14:paraId="07F58295" w14:textId="77777777" w:rsidR="00C277E7" w:rsidRDefault="00C277E7">
            <w:pPr>
              <w:jc w:val="right"/>
              <w:rPr>
                <w:rFonts w:ascii="Calibri" w:hAnsi="Calibri" w:cs="Calibri"/>
                <w:color w:val="000000"/>
              </w:rPr>
            </w:pPr>
            <w:r>
              <w:rPr>
                <w:rFonts w:ascii="Calibri" w:hAnsi="Calibri" w:cs="Calibri"/>
                <w:color w:val="000000"/>
              </w:rPr>
              <w:t>10192</w:t>
            </w:r>
          </w:p>
        </w:tc>
      </w:tr>
      <w:tr w:rsidR="006141AE" w14:paraId="07F582A0" w14:textId="77777777" w:rsidTr="00B90C7B">
        <w:tc>
          <w:tcPr>
            <w:tcW w:w="634" w:type="dxa"/>
            <w:shd w:val="clear" w:color="auto" w:fill="F2F2F2"/>
          </w:tcPr>
          <w:p w14:paraId="07F58297" w14:textId="77777777" w:rsidR="00757DF9" w:rsidRPr="003B3046" w:rsidRDefault="00757DF9" w:rsidP="00071D4F">
            <w:pPr>
              <w:spacing w:after="0"/>
              <w:rPr>
                <w:b/>
              </w:rPr>
            </w:pPr>
            <w:r w:rsidRPr="003B3046">
              <w:rPr>
                <w:b/>
              </w:rPr>
              <w:t>NPV</w:t>
            </w:r>
          </w:p>
        </w:tc>
        <w:tc>
          <w:tcPr>
            <w:tcW w:w="1034" w:type="dxa"/>
            <w:shd w:val="clear" w:color="auto" w:fill="F2F2F2"/>
          </w:tcPr>
          <w:p w14:paraId="07F58298" w14:textId="77777777" w:rsidR="00757DF9" w:rsidRPr="00D03345" w:rsidRDefault="00757DF9" w:rsidP="00071D4F">
            <w:pPr>
              <w:spacing w:after="0"/>
              <w:jc w:val="center"/>
              <w:rPr>
                <w:b/>
              </w:rPr>
            </w:pPr>
            <w:r w:rsidRPr="00D03345">
              <w:rPr>
                <w:b/>
              </w:rPr>
              <w:t>Zero</w:t>
            </w:r>
            <w:r>
              <w:rPr>
                <w:b/>
              </w:rPr>
              <w:t xml:space="preserve"> (i)</w:t>
            </w:r>
          </w:p>
        </w:tc>
        <w:tc>
          <w:tcPr>
            <w:tcW w:w="992" w:type="dxa"/>
            <w:shd w:val="clear" w:color="auto" w:fill="F2F2F2"/>
          </w:tcPr>
          <w:p w14:paraId="07F58299" w14:textId="77777777" w:rsidR="00757DF9" w:rsidRPr="00890336" w:rsidRDefault="00757DF9" w:rsidP="00071D4F">
            <w:pPr>
              <w:spacing w:after="0"/>
              <w:jc w:val="center"/>
              <w:rPr>
                <w:b/>
              </w:rPr>
            </w:pPr>
          </w:p>
        </w:tc>
        <w:tc>
          <w:tcPr>
            <w:tcW w:w="992" w:type="dxa"/>
            <w:shd w:val="clear" w:color="auto" w:fill="F2F2F2"/>
          </w:tcPr>
          <w:p w14:paraId="07F5829A" w14:textId="77777777" w:rsidR="00757DF9" w:rsidRPr="00D90B3B" w:rsidRDefault="00757DF9" w:rsidP="00071D4F">
            <w:pPr>
              <w:spacing w:after="0"/>
              <w:jc w:val="center"/>
              <w:rPr>
                <w:b/>
              </w:rPr>
            </w:pPr>
          </w:p>
        </w:tc>
        <w:tc>
          <w:tcPr>
            <w:tcW w:w="1134" w:type="dxa"/>
            <w:shd w:val="clear" w:color="auto" w:fill="F2F2F2"/>
          </w:tcPr>
          <w:p w14:paraId="07F5829B" w14:textId="77777777" w:rsidR="00757DF9" w:rsidRPr="00890336" w:rsidRDefault="00757DF9" w:rsidP="00C277E7">
            <w:pPr>
              <w:spacing w:after="0"/>
              <w:jc w:val="center"/>
              <w:rPr>
                <w:b/>
              </w:rPr>
            </w:pPr>
            <w:r>
              <w:rPr>
                <w:b/>
              </w:rPr>
              <w:t>$</w:t>
            </w:r>
            <w:r w:rsidR="00C277E7">
              <w:rPr>
                <w:b/>
              </w:rPr>
              <w:t>34,836</w:t>
            </w:r>
            <w:r>
              <w:rPr>
                <w:b/>
              </w:rPr>
              <w:t>(i)</w:t>
            </w:r>
          </w:p>
        </w:tc>
        <w:tc>
          <w:tcPr>
            <w:tcW w:w="962" w:type="dxa"/>
            <w:shd w:val="clear" w:color="auto" w:fill="F2F2F2"/>
          </w:tcPr>
          <w:p w14:paraId="07F5829C" w14:textId="77777777" w:rsidR="00757DF9" w:rsidRPr="00890336" w:rsidRDefault="00C277E7" w:rsidP="00071D4F">
            <w:pPr>
              <w:spacing w:after="0"/>
              <w:jc w:val="center"/>
              <w:rPr>
                <w:b/>
              </w:rPr>
            </w:pPr>
            <w:r>
              <w:rPr>
                <w:b/>
              </w:rPr>
              <w:t xml:space="preserve">Zero </w:t>
            </w:r>
            <w:r w:rsidR="00757DF9">
              <w:rPr>
                <w:b/>
              </w:rPr>
              <w:t>(j)</w:t>
            </w:r>
          </w:p>
        </w:tc>
        <w:tc>
          <w:tcPr>
            <w:tcW w:w="859" w:type="dxa"/>
            <w:shd w:val="clear" w:color="auto" w:fill="F2F2F2"/>
          </w:tcPr>
          <w:p w14:paraId="07F5829D" w14:textId="77777777" w:rsidR="00757DF9" w:rsidRDefault="00757DF9" w:rsidP="00071D4F">
            <w:pPr>
              <w:spacing w:after="0"/>
              <w:jc w:val="center"/>
              <w:rPr>
                <w:b/>
              </w:rPr>
            </w:pPr>
            <w:r>
              <w:rPr>
                <w:b/>
              </w:rPr>
              <w:t>Zero(i)</w:t>
            </w:r>
          </w:p>
        </w:tc>
        <w:tc>
          <w:tcPr>
            <w:tcW w:w="1145" w:type="dxa"/>
            <w:shd w:val="clear" w:color="auto" w:fill="FFFFFF" w:themeFill="background1"/>
          </w:tcPr>
          <w:p w14:paraId="07F5829E" w14:textId="77777777" w:rsidR="00757DF9" w:rsidRDefault="006141AE" w:rsidP="006141AE">
            <w:pPr>
              <w:spacing w:after="0"/>
              <w:jc w:val="center"/>
              <w:rPr>
                <w:b/>
              </w:rPr>
            </w:pPr>
            <w:r>
              <w:rPr>
                <w:b/>
              </w:rPr>
              <w:t>-</w:t>
            </w:r>
            <w:r w:rsidR="00757DF9" w:rsidRPr="009F31DA">
              <w:rPr>
                <w:b/>
              </w:rPr>
              <w:t>$</w:t>
            </w:r>
            <w:r>
              <w:rPr>
                <w:b/>
              </w:rPr>
              <w:t>1,906</w:t>
            </w:r>
            <w:r w:rsidR="00757DF9">
              <w:rPr>
                <w:b/>
              </w:rPr>
              <w:t>(j)</w:t>
            </w:r>
          </w:p>
        </w:tc>
        <w:tc>
          <w:tcPr>
            <w:tcW w:w="1145" w:type="dxa"/>
            <w:shd w:val="clear" w:color="auto" w:fill="F2F2F2"/>
          </w:tcPr>
          <w:p w14:paraId="07F5829F" w14:textId="77777777" w:rsidR="00757DF9" w:rsidRDefault="00757DF9" w:rsidP="006141AE">
            <w:pPr>
              <w:spacing w:after="0"/>
              <w:jc w:val="center"/>
              <w:rPr>
                <w:b/>
              </w:rPr>
            </w:pPr>
            <w:r>
              <w:rPr>
                <w:b/>
              </w:rPr>
              <w:t>$3</w:t>
            </w:r>
            <w:r w:rsidR="006141AE">
              <w:rPr>
                <w:b/>
              </w:rPr>
              <w:t>4,836</w:t>
            </w:r>
            <w:r>
              <w:rPr>
                <w:b/>
              </w:rPr>
              <w:t>(i)</w:t>
            </w:r>
          </w:p>
        </w:tc>
      </w:tr>
      <w:tr w:rsidR="006141AE" w14:paraId="07F582AA" w14:textId="77777777" w:rsidTr="00B90C7B">
        <w:tc>
          <w:tcPr>
            <w:tcW w:w="634" w:type="dxa"/>
            <w:shd w:val="clear" w:color="auto" w:fill="F2F2F2"/>
          </w:tcPr>
          <w:p w14:paraId="07F582A1" w14:textId="77777777" w:rsidR="00757DF9" w:rsidRPr="003B3046" w:rsidRDefault="00757DF9" w:rsidP="00071D4F">
            <w:pPr>
              <w:spacing w:after="0"/>
              <w:rPr>
                <w:b/>
              </w:rPr>
            </w:pPr>
            <w:r w:rsidRPr="003B3046">
              <w:rPr>
                <w:b/>
              </w:rPr>
              <w:t>IRR</w:t>
            </w:r>
          </w:p>
        </w:tc>
        <w:tc>
          <w:tcPr>
            <w:tcW w:w="1034" w:type="dxa"/>
            <w:shd w:val="clear" w:color="auto" w:fill="F2F2F2"/>
          </w:tcPr>
          <w:p w14:paraId="07F582A2" w14:textId="77777777" w:rsidR="00757DF9" w:rsidRPr="00D03345" w:rsidRDefault="00757DF9" w:rsidP="00071D4F">
            <w:pPr>
              <w:spacing w:after="0"/>
              <w:jc w:val="center"/>
              <w:rPr>
                <w:b/>
              </w:rPr>
            </w:pPr>
            <w:r w:rsidRPr="00D03345">
              <w:rPr>
                <w:b/>
              </w:rPr>
              <w:t>10.0</w:t>
            </w:r>
            <w:r>
              <w:rPr>
                <w:b/>
              </w:rPr>
              <w:t>%</w:t>
            </w:r>
          </w:p>
        </w:tc>
        <w:tc>
          <w:tcPr>
            <w:tcW w:w="992" w:type="dxa"/>
            <w:shd w:val="clear" w:color="auto" w:fill="F2F2F2"/>
          </w:tcPr>
          <w:p w14:paraId="07F582A3" w14:textId="77777777" w:rsidR="00757DF9" w:rsidRPr="00890336" w:rsidRDefault="00757DF9" w:rsidP="00071D4F">
            <w:pPr>
              <w:spacing w:after="0"/>
              <w:jc w:val="center"/>
              <w:rPr>
                <w:b/>
              </w:rPr>
            </w:pPr>
          </w:p>
        </w:tc>
        <w:tc>
          <w:tcPr>
            <w:tcW w:w="992" w:type="dxa"/>
            <w:shd w:val="clear" w:color="auto" w:fill="F2F2F2"/>
          </w:tcPr>
          <w:p w14:paraId="07F582A4" w14:textId="77777777" w:rsidR="00757DF9" w:rsidRPr="00D90B3B" w:rsidRDefault="00757DF9" w:rsidP="00071D4F">
            <w:pPr>
              <w:spacing w:after="0"/>
              <w:jc w:val="center"/>
              <w:rPr>
                <w:b/>
              </w:rPr>
            </w:pPr>
          </w:p>
        </w:tc>
        <w:tc>
          <w:tcPr>
            <w:tcW w:w="1134" w:type="dxa"/>
            <w:shd w:val="clear" w:color="auto" w:fill="F2F2F2"/>
          </w:tcPr>
          <w:p w14:paraId="07F582A5" w14:textId="77777777" w:rsidR="00757DF9" w:rsidRPr="00890336" w:rsidRDefault="00757DF9" w:rsidP="00071D4F">
            <w:pPr>
              <w:spacing w:after="0"/>
              <w:jc w:val="center"/>
              <w:rPr>
                <w:b/>
              </w:rPr>
            </w:pPr>
          </w:p>
        </w:tc>
        <w:tc>
          <w:tcPr>
            <w:tcW w:w="962" w:type="dxa"/>
            <w:shd w:val="clear" w:color="auto" w:fill="F2F2F2"/>
          </w:tcPr>
          <w:p w14:paraId="07F582A6" w14:textId="77777777" w:rsidR="00757DF9" w:rsidRPr="00890336" w:rsidRDefault="00757DF9" w:rsidP="00C277E7">
            <w:pPr>
              <w:spacing w:after="0"/>
              <w:jc w:val="center"/>
              <w:rPr>
                <w:b/>
              </w:rPr>
            </w:pPr>
            <w:r>
              <w:rPr>
                <w:b/>
              </w:rPr>
              <w:t>7.</w:t>
            </w:r>
            <w:r w:rsidR="00C277E7">
              <w:rPr>
                <w:b/>
              </w:rPr>
              <w:t>00</w:t>
            </w:r>
            <w:r>
              <w:rPr>
                <w:b/>
              </w:rPr>
              <w:t>%</w:t>
            </w:r>
          </w:p>
        </w:tc>
        <w:tc>
          <w:tcPr>
            <w:tcW w:w="859" w:type="dxa"/>
            <w:shd w:val="clear" w:color="auto" w:fill="F2F2F2"/>
          </w:tcPr>
          <w:p w14:paraId="07F582A7" w14:textId="77777777" w:rsidR="00757DF9" w:rsidRDefault="00757DF9" w:rsidP="00071D4F">
            <w:pPr>
              <w:spacing w:after="0"/>
              <w:jc w:val="center"/>
              <w:rPr>
                <w:b/>
              </w:rPr>
            </w:pPr>
            <w:r>
              <w:rPr>
                <w:b/>
              </w:rPr>
              <w:t>10.0%</w:t>
            </w:r>
          </w:p>
        </w:tc>
        <w:tc>
          <w:tcPr>
            <w:tcW w:w="1145" w:type="dxa"/>
            <w:shd w:val="clear" w:color="auto" w:fill="FFFFFF" w:themeFill="background1"/>
          </w:tcPr>
          <w:p w14:paraId="07F582A8" w14:textId="77777777" w:rsidR="00757DF9" w:rsidRPr="009F31DA" w:rsidRDefault="00757DF9" w:rsidP="006141AE">
            <w:pPr>
              <w:spacing w:after="0"/>
              <w:jc w:val="center"/>
              <w:rPr>
                <w:b/>
              </w:rPr>
            </w:pPr>
            <w:r w:rsidRPr="009F31DA">
              <w:rPr>
                <w:b/>
              </w:rPr>
              <w:t>6.</w:t>
            </w:r>
            <w:r w:rsidR="006141AE">
              <w:rPr>
                <w:b/>
              </w:rPr>
              <w:t>84</w:t>
            </w:r>
            <w:r>
              <w:rPr>
                <w:b/>
              </w:rPr>
              <w:t>%</w:t>
            </w:r>
          </w:p>
        </w:tc>
        <w:tc>
          <w:tcPr>
            <w:tcW w:w="1145" w:type="dxa"/>
            <w:shd w:val="clear" w:color="auto" w:fill="F2F2F2"/>
          </w:tcPr>
          <w:p w14:paraId="07F582A9" w14:textId="77777777" w:rsidR="00757DF9" w:rsidRDefault="00757DF9" w:rsidP="00071D4F">
            <w:pPr>
              <w:spacing w:after="0"/>
              <w:jc w:val="center"/>
              <w:rPr>
                <w:b/>
              </w:rPr>
            </w:pPr>
          </w:p>
        </w:tc>
      </w:tr>
      <w:tr w:rsidR="006141AE" w14:paraId="07F582B4" w14:textId="77777777" w:rsidTr="006141AE">
        <w:tc>
          <w:tcPr>
            <w:tcW w:w="634" w:type="dxa"/>
            <w:shd w:val="clear" w:color="auto" w:fill="F2F2F2"/>
          </w:tcPr>
          <w:p w14:paraId="07F582AB" w14:textId="77777777" w:rsidR="00757DF9" w:rsidRPr="003B3046" w:rsidRDefault="00757DF9" w:rsidP="00071D4F">
            <w:pPr>
              <w:spacing w:after="0"/>
              <w:rPr>
                <w:b/>
              </w:rPr>
            </w:pPr>
            <w:r>
              <w:rPr>
                <w:b/>
              </w:rPr>
              <w:t>Sum</w:t>
            </w:r>
          </w:p>
        </w:tc>
        <w:tc>
          <w:tcPr>
            <w:tcW w:w="1034" w:type="dxa"/>
            <w:shd w:val="clear" w:color="auto" w:fill="F2F2F2"/>
          </w:tcPr>
          <w:p w14:paraId="07F582AC" w14:textId="77777777" w:rsidR="00757DF9" w:rsidRPr="00D03345" w:rsidRDefault="00757DF9" w:rsidP="00071D4F">
            <w:pPr>
              <w:spacing w:after="0"/>
              <w:jc w:val="center"/>
              <w:rPr>
                <w:b/>
              </w:rPr>
            </w:pPr>
          </w:p>
        </w:tc>
        <w:tc>
          <w:tcPr>
            <w:tcW w:w="992" w:type="dxa"/>
            <w:shd w:val="clear" w:color="auto" w:fill="F2F2F2"/>
          </w:tcPr>
          <w:p w14:paraId="07F582AD" w14:textId="77777777" w:rsidR="00757DF9" w:rsidRDefault="00757DF9" w:rsidP="00071D4F">
            <w:pPr>
              <w:spacing w:after="0"/>
              <w:jc w:val="center"/>
              <w:rPr>
                <w:b/>
              </w:rPr>
            </w:pPr>
          </w:p>
        </w:tc>
        <w:tc>
          <w:tcPr>
            <w:tcW w:w="992" w:type="dxa"/>
            <w:shd w:val="clear" w:color="auto" w:fill="F2F2F2"/>
          </w:tcPr>
          <w:p w14:paraId="07F582AE" w14:textId="77777777" w:rsidR="00757DF9" w:rsidRPr="00D90B3B" w:rsidRDefault="00757DF9" w:rsidP="00071D4F">
            <w:pPr>
              <w:spacing w:after="0"/>
              <w:jc w:val="center"/>
              <w:rPr>
                <w:b/>
              </w:rPr>
            </w:pPr>
          </w:p>
        </w:tc>
        <w:tc>
          <w:tcPr>
            <w:tcW w:w="1134" w:type="dxa"/>
            <w:shd w:val="clear" w:color="auto" w:fill="F2F2F2"/>
          </w:tcPr>
          <w:p w14:paraId="07F582AF" w14:textId="77777777" w:rsidR="00757DF9" w:rsidRPr="00890336" w:rsidRDefault="00757DF9" w:rsidP="00C277E7">
            <w:pPr>
              <w:spacing w:after="0"/>
              <w:jc w:val="center"/>
              <w:rPr>
                <w:b/>
              </w:rPr>
            </w:pPr>
            <w:r>
              <w:rPr>
                <w:b/>
              </w:rPr>
              <w:t>$47,84</w:t>
            </w:r>
            <w:r w:rsidR="00C277E7">
              <w:rPr>
                <w:b/>
              </w:rPr>
              <w:t>8</w:t>
            </w:r>
          </w:p>
        </w:tc>
        <w:tc>
          <w:tcPr>
            <w:tcW w:w="962" w:type="dxa"/>
            <w:shd w:val="clear" w:color="auto" w:fill="F2F2F2"/>
          </w:tcPr>
          <w:p w14:paraId="07F582B0" w14:textId="77777777" w:rsidR="00757DF9" w:rsidRDefault="00757DF9" w:rsidP="00071D4F">
            <w:pPr>
              <w:spacing w:after="0"/>
              <w:jc w:val="center"/>
              <w:rPr>
                <w:b/>
              </w:rPr>
            </w:pPr>
          </w:p>
        </w:tc>
        <w:tc>
          <w:tcPr>
            <w:tcW w:w="859" w:type="dxa"/>
            <w:shd w:val="clear" w:color="auto" w:fill="F2F2F2"/>
          </w:tcPr>
          <w:p w14:paraId="07F582B1" w14:textId="77777777" w:rsidR="00757DF9" w:rsidRDefault="00757DF9" w:rsidP="00071D4F">
            <w:pPr>
              <w:spacing w:after="0"/>
              <w:jc w:val="center"/>
              <w:rPr>
                <w:b/>
              </w:rPr>
            </w:pPr>
            <w:r>
              <w:rPr>
                <w:b/>
              </w:rPr>
              <w:t>$7,975</w:t>
            </w:r>
          </w:p>
        </w:tc>
        <w:tc>
          <w:tcPr>
            <w:tcW w:w="1145" w:type="dxa"/>
            <w:shd w:val="clear" w:color="auto" w:fill="F2F2F2"/>
          </w:tcPr>
          <w:p w14:paraId="07F582B2" w14:textId="77777777" w:rsidR="00757DF9" w:rsidRDefault="00757DF9" w:rsidP="00071D4F">
            <w:pPr>
              <w:spacing w:after="0"/>
              <w:jc w:val="center"/>
              <w:rPr>
                <w:b/>
              </w:rPr>
            </w:pPr>
          </w:p>
        </w:tc>
        <w:tc>
          <w:tcPr>
            <w:tcW w:w="1145" w:type="dxa"/>
            <w:shd w:val="clear" w:color="auto" w:fill="F2F2F2"/>
          </w:tcPr>
          <w:p w14:paraId="07F582B3" w14:textId="77777777" w:rsidR="00757DF9" w:rsidRDefault="00757DF9" w:rsidP="00071D4F">
            <w:pPr>
              <w:spacing w:after="0"/>
              <w:jc w:val="center"/>
              <w:rPr>
                <w:b/>
              </w:rPr>
            </w:pPr>
            <w:r>
              <w:rPr>
                <w:b/>
              </w:rPr>
              <w:t>$55,823</w:t>
            </w:r>
          </w:p>
        </w:tc>
      </w:tr>
    </w:tbl>
    <w:p w14:paraId="07F582B5" w14:textId="77777777" w:rsidR="00C277E7" w:rsidRDefault="00C277E7" w:rsidP="00C277E7">
      <w:pPr>
        <w:numPr>
          <w:ilvl w:val="0"/>
          <w:numId w:val="9"/>
        </w:numPr>
        <w:spacing w:after="0"/>
      </w:pPr>
      <w:r>
        <w:t>As in Table B.7 of interim report.</w:t>
      </w:r>
    </w:p>
    <w:p w14:paraId="07F582B6" w14:textId="77777777" w:rsidR="00C277E7" w:rsidRDefault="006141AE" w:rsidP="00C277E7">
      <w:pPr>
        <w:numPr>
          <w:ilvl w:val="0"/>
          <w:numId w:val="9"/>
        </w:numPr>
        <w:spacing w:after="0"/>
      </w:pPr>
      <w:r>
        <w:t xml:space="preserve">Economic depreciation of </w:t>
      </w:r>
      <w:r w:rsidR="00A20A48">
        <w:t xml:space="preserve">asset valued at </w:t>
      </w:r>
      <w:r>
        <w:t>$500,000</w:t>
      </w:r>
      <w:r w:rsidR="00A20A48">
        <w:t xml:space="preserve"> Year 0 that produces constant cash flow until total collapse a</w:t>
      </w:r>
      <w:r>
        <w:t>t end Year 5</w:t>
      </w:r>
      <w:r w:rsidR="00A20A48">
        <w:t xml:space="preserve"> (a ‘one-horse-shay’ asset)</w:t>
      </w:r>
      <w:r w:rsidR="00C277E7">
        <w:t>.</w:t>
      </w:r>
      <w:r>
        <w:t xml:space="preserve"> Value of investment using 10% pa discount rate</w:t>
      </w:r>
      <w:r w:rsidR="00A20A48">
        <w:t xml:space="preserve"> is got from Year 1 onwards from 10% x prior year value. Annual economic depreciation is then current year less prior year value.</w:t>
      </w:r>
    </w:p>
    <w:p w14:paraId="07F582B7" w14:textId="77777777" w:rsidR="00C277E7" w:rsidRDefault="00A20A48" w:rsidP="00C277E7">
      <w:pPr>
        <w:numPr>
          <w:ilvl w:val="0"/>
          <w:numId w:val="9"/>
        </w:numPr>
        <w:spacing w:after="0"/>
      </w:pPr>
      <w:r>
        <w:t>From Year 1, Column (a) less Column (b)</w:t>
      </w:r>
      <w:r w:rsidR="00C277E7">
        <w:t>.</w:t>
      </w:r>
    </w:p>
    <w:p w14:paraId="07F582B8" w14:textId="77777777" w:rsidR="00C277E7" w:rsidRDefault="00A20A48" w:rsidP="00C277E7">
      <w:pPr>
        <w:numPr>
          <w:ilvl w:val="0"/>
          <w:numId w:val="9"/>
        </w:numPr>
        <w:spacing w:after="0"/>
      </w:pPr>
      <w:r>
        <w:t>Column (c) x 30% income tax rate</w:t>
      </w:r>
      <w:r w:rsidR="00C277E7">
        <w:t>.</w:t>
      </w:r>
    </w:p>
    <w:p w14:paraId="07F582B9" w14:textId="77777777" w:rsidR="00C277E7" w:rsidRDefault="00C277E7" w:rsidP="00C277E7">
      <w:pPr>
        <w:numPr>
          <w:ilvl w:val="0"/>
          <w:numId w:val="9"/>
        </w:numPr>
        <w:spacing w:after="0"/>
      </w:pPr>
      <w:r>
        <w:t>Column (a) less Column (d).</w:t>
      </w:r>
    </w:p>
    <w:p w14:paraId="07F582BA" w14:textId="77777777" w:rsidR="00C277E7" w:rsidRDefault="00C277E7" w:rsidP="00C277E7">
      <w:pPr>
        <w:numPr>
          <w:ilvl w:val="0"/>
          <w:numId w:val="9"/>
        </w:numPr>
        <w:spacing w:after="0"/>
      </w:pPr>
      <w:r>
        <w:t xml:space="preserve">5% x Column (a), as in Table B.7 of interim report. </w:t>
      </w:r>
    </w:p>
    <w:p w14:paraId="07F582BB" w14:textId="77777777" w:rsidR="00C277E7" w:rsidRDefault="00C277E7" w:rsidP="00C277E7">
      <w:pPr>
        <w:numPr>
          <w:ilvl w:val="0"/>
          <w:numId w:val="9"/>
        </w:numPr>
        <w:spacing w:after="0"/>
      </w:pPr>
      <w:r>
        <w:t>Column (</w:t>
      </w:r>
      <w:r w:rsidR="00A20A48">
        <w:t>a</w:t>
      </w:r>
      <w:r>
        <w:t>) less Column (</w:t>
      </w:r>
      <w:r w:rsidR="00A20A48">
        <w:t>d</w:t>
      </w:r>
      <w:r>
        <w:t>)</w:t>
      </w:r>
      <w:r w:rsidR="00A20A48">
        <w:t xml:space="preserve"> and Column (f)</w:t>
      </w:r>
      <w:r>
        <w:t xml:space="preserve">. </w:t>
      </w:r>
    </w:p>
    <w:p w14:paraId="07F582BC" w14:textId="77777777" w:rsidR="00C277E7" w:rsidRDefault="00C277E7" w:rsidP="00C277E7">
      <w:pPr>
        <w:numPr>
          <w:ilvl w:val="0"/>
          <w:numId w:val="9"/>
        </w:numPr>
        <w:spacing w:after="0"/>
      </w:pPr>
      <w:r>
        <w:t xml:space="preserve">Column (d) plus Column (f), as in Table B.7 of interim report. </w:t>
      </w:r>
    </w:p>
    <w:p w14:paraId="07F582BD" w14:textId="77777777" w:rsidR="00C277E7" w:rsidRDefault="00C277E7" w:rsidP="00C277E7">
      <w:pPr>
        <w:numPr>
          <w:ilvl w:val="0"/>
          <w:numId w:val="9"/>
        </w:numPr>
        <w:spacing w:after="0"/>
      </w:pPr>
      <w:r>
        <w:t>Discounting at 10% pa pre-all taxes discount rate.</w:t>
      </w:r>
    </w:p>
    <w:p w14:paraId="07F582BE" w14:textId="77777777" w:rsidR="00C277E7" w:rsidRDefault="00C277E7" w:rsidP="00C277E7">
      <w:pPr>
        <w:numPr>
          <w:ilvl w:val="0"/>
          <w:numId w:val="9"/>
        </w:numPr>
        <w:spacing w:after="0"/>
      </w:pPr>
      <w:r>
        <w:t>Discounting at investors’ post-income tax discount rate of 7% pa – that is, 10x(1-0.3)% pa.</w:t>
      </w:r>
    </w:p>
    <w:p w14:paraId="07F582BF" w14:textId="77777777" w:rsidR="00C277E7" w:rsidRDefault="00C277E7" w:rsidP="00C277E7"/>
    <w:p w14:paraId="07F582C0" w14:textId="77777777" w:rsidR="00757DF9" w:rsidRDefault="00757DF9" w:rsidP="00757DF9"/>
    <w:p w14:paraId="07F582C1" w14:textId="77777777" w:rsidR="00757DF9" w:rsidRDefault="00757DF9" w:rsidP="00757DF9"/>
    <w:p w14:paraId="07F582C2" w14:textId="77777777" w:rsidR="00757DF9" w:rsidRDefault="00757DF9" w:rsidP="00757DF9"/>
    <w:p w14:paraId="07F582C3" w14:textId="77777777" w:rsidR="0053010F" w:rsidRDefault="0053010F" w:rsidP="00757DF9"/>
    <w:p w14:paraId="07F582C4" w14:textId="77777777" w:rsidR="00757DF9" w:rsidRDefault="00757DF9" w:rsidP="00757DF9">
      <w:r>
        <w:t xml:space="preserve">  </w:t>
      </w:r>
    </w:p>
    <w:p w14:paraId="07F582C5" w14:textId="77777777" w:rsidR="00757DF9" w:rsidRPr="000A7173" w:rsidRDefault="00757DF9" w:rsidP="00757DF9">
      <w:pPr>
        <w:spacing w:after="0"/>
        <w:rPr>
          <w:b/>
        </w:rPr>
      </w:pPr>
      <w:r w:rsidRPr="000A7173">
        <w:rPr>
          <w:b/>
        </w:rPr>
        <w:t xml:space="preserve">TABLE </w:t>
      </w:r>
      <w:r w:rsidR="00782E71">
        <w:rPr>
          <w:b/>
        </w:rPr>
        <w:t>A2</w:t>
      </w:r>
    </w:p>
    <w:p w14:paraId="07F582C6" w14:textId="77777777" w:rsidR="00757DF9" w:rsidRDefault="00757DF9" w:rsidP="00757DF9">
      <w:pPr>
        <w:spacing w:after="0"/>
      </w:pPr>
      <w:r>
        <w:t xml:space="preserve">Company in interim report’s Table B.7 subject to income tax with </w:t>
      </w:r>
      <w:r w:rsidR="006804E5">
        <w:t>economic depreciation</w:t>
      </w:r>
      <w:r>
        <w:t xml:space="preserve"> of $500,000 investment and taxable income based on cash flow </w:t>
      </w:r>
      <w:r w:rsidRPr="006F352B">
        <w:rPr>
          <w:u w:val="single"/>
        </w:rPr>
        <w:t>after</w:t>
      </w:r>
      <w:r>
        <w:t xml:space="preserve"> 5% NCT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992"/>
        <w:gridCol w:w="992"/>
        <w:gridCol w:w="992"/>
        <w:gridCol w:w="1134"/>
        <w:gridCol w:w="1134"/>
        <w:gridCol w:w="1134"/>
      </w:tblGrid>
      <w:tr w:rsidR="00757DF9" w14:paraId="07F582E5" w14:textId="77777777" w:rsidTr="00024A27">
        <w:tc>
          <w:tcPr>
            <w:tcW w:w="817" w:type="dxa"/>
            <w:shd w:val="clear" w:color="auto" w:fill="F2F2F2"/>
            <w:vAlign w:val="center"/>
          </w:tcPr>
          <w:p w14:paraId="07F582C7" w14:textId="77777777" w:rsidR="00757DF9" w:rsidRPr="003B3046" w:rsidRDefault="00757DF9" w:rsidP="00071D4F">
            <w:pPr>
              <w:spacing w:after="0"/>
              <w:jc w:val="center"/>
              <w:rPr>
                <w:b/>
              </w:rPr>
            </w:pPr>
            <w:r w:rsidRPr="003B3046">
              <w:rPr>
                <w:b/>
              </w:rPr>
              <w:t>Year</w:t>
            </w:r>
          </w:p>
        </w:tc>
        <w:tc>
          <w:tcPr>
            <w:tcW w:w="992" w:type="dxa"/>
            <w:tcBorders>
              <w:bottom w:val="single" w:sz="4" w:space="0" w:color="auto"/>
            </w:tcBorders>
            <w:shd w:val="clear" w:color="auto" w:fill="F2F2F2"/>
          </w:tcPr>
          <w:p w14:paraId="07F582C8" w14:textId="77777777" w:rsidR="00757DF9" w:rsidRDefault="00757DF9" w:rsidP="00071D4F">
            <w:pPr>
              <w:spacing w:after="0"/>
              <w:jc w:val="center"/>
              <w:rPr>
                <w:b/>
              </w:rPr>
            </w:pPr>
            <w:r w:rsidRPr="003B3046">
              <w:rPr>
                <w:b/>
              </w:rPr>
              <w:t>P</w:t>
            </w:r>
            <w:r>
              <w:rPr>
                <w:b/>
              </w:rPr>
              <w:t>re</w:t>
            </w:r>
            <w:r w:rsidRPr="003B3046">
              <w:rPr>
                <w:b/>
              </w:rPr>
              <w:t>-tax cash flow</w:t>
            </w:r>
          </w:p>
          <w:p w14:paraId="07F582C9" w14:textId="77777777" w:rsidR="00757DF9" w:rsidRDefault="00757DF9" w:rsidP="00071D4F">
            <w:pPr>
              <w:spacing w:after="0"/>
              <w:jc w:val="center"/>
              <w:rPr>
                <w:b/>
              </w:rPr>
            </w:pPr>
            <w:r w:rsidRPr="003B3046">
              <w:rPr>
                <w:b/>
              </w:rPr>
              <w:t xml:space="preserve"> </w:t>
            </w:r>
          </w:p>
          <w:p w14:paraId="07F582CA" w14:textId="77777777" w:rsidR="00757DF9" w:rsidRPr="003B3046" w:rsidRDefault="00757DF9" w:rsidP="00071D4F">
            <w:pPr>
              <w:spacing w:after="0"/>
              <w:jc w:val="center"/>
              <w:rPr>
                <w:b/>
              </w:rPr>
            </w:pPr>
            <w:r>
              <w:rPr>
                <w:b/>
              </w:rPr>
              <w:t xml:space="preserve"> (a)</w:t>
            </w:r>
          </w:p>
          <w:p w14:paraId="07F582CB" w14:textId="77777777" w:rsidR="00757DF9" w:rsidRPr="003B3046" w:rsidRDefault="00757DF9" w:rsidP="00071D4F">
            <w:pPr>
              <w:spacing w:after="0"/>
              <w:jc w:val="center"/>
              <w:rPr>
                <w:b/>
              </w:rPr>
            </w:pPr>
            <w:r>
              <w:rPr>
                <w:b/>
              </w:rPr>
              <w:t>$</w:t>
            </w:r>
          </w:p>
        </w:tc>
        <w:tc>
          <w:tcPr>
            <w:tcW w:w="993" w:type="dxa"/>
            <w:shd w:val="clear" w:color="auto" w:fill="F2F2F2"/>
          </w:tcPr>
          <w:p w14:paraId="07F582CC" w14:textId="77777777" w:rsidR="00757DF9" w:rsidRDefault="00757DF9" w:rsidP="00071D4F">
            <w:pPr>
              <w:spacing w:after="0"/>
              <w:jc w:val="center"/>
              <w:rPr>
                <w:b/>
              </w:rPr>
            </w:pPr>
            <w:r>
              <w:rPr>
                <w:b/>
              </w:rPr>
              <w:t>5% NCT refunds/tax paymts</w:t>
            </w:r>
          </w:p>
          <w:p w14:paraId="07F582CD" w14:textId="77777777" w:rsidR="00757DF9" w:rsidRPr="003B3046" w:rsidRDefault="00757DF9" w:rsidP="00071D4F">
            <w:pPr>
              <w:spacing w:after="0"/>
              <w:jc w:val="center"/>
              <w:rPr>
                <w:b/>
              </w:rPr>
            </w:pPr>
            <w:r w:rsidRPr="003B3046">
              <w:rPr>
                <w:b/>
              </w:rPr>
              <w:t xml:space="preserve"> </w:t>
            </w:r>
            <w:r>
              <w:rPr>
                <w:b/>
              </w:rPr>
              <w:t>(b)</w:t>
            </w:r>
          </w:p>
          <w:p w14:paraId="07F582CE" w14:textId="77777777" w:rsidR="00757DF9" w:rsidRPr="003B3046" w:rsidRDefault="00757DF9" w:rsidP="00071D4F">
            <w:pPr>
              <w:spacing w:after="0"/>
              <w:jc w:val="center"/>
              <w:rPr>
                <w:b/>
              </w:rPr>
            </w:pPr>
            <w:r w:rsidRPr="003B3046">
              <w:rPr>
                <w:b/>
              </w:rPr>
              <w:t>$</w:t>
            </w:r>
          </w:p>
        </w:tc>
        <w:tc>
          <w:tcPr>
            <w:tcW w:w="992" w:type="dxa"/>
            <w:tcBorders>
              <w:bottom w:val="single" w:sz="4" w:space="0" w:color="auto"/>
            </w:tcBorders>
            <w:shd w:val="clear" w:color="auto" w:fill="F2F2F2"/>
          </w:tcPr>
          <w:p w14:paraId="07F582CF" w14:textId="77777777" w:rsidR="00757DF9" w:rsidRPr="003B3046" w:rsidRDefault="00757DF9" w:rsidP="00071D4F">
            <w:pPr>
              <w:spacing w:after="0"/>
              <w:jc w:val="center"/>
              <w:rPr>
                <w:b/>
              </w:rPr>
            </w:pPr>
            <w:r>
              <w:rPr>
                <w:b/>
              </w:rPr>
              <w:t>Cash flow after NCT</w:t>
            </w:r>
            <w:r w:rsidRPr="003B3046">
              <w:rPr>
                <w:b/>
              </w:rPr>
              <w:t xml:space="preserve"> </w:t>
            </w:r>
          </w:p>
          <w:p w14:paraId="07F582D0" w14:textId="77777777" w:rsidR="00757DF9" w:rsidRPr="003B3046" w:rsidRDefault="00757DF9" w:rsidP="00071D4F">
            <w:pPr>
              <w:spacing w:after="0"/>
              <w:jc w:val="center"/>
              <w:rPr>
                <w:b/>
              </w:rPr>
            </w:pPr>
            <w:r>
              <w:rPr>
                <w:b/>
              </w:rPr>
              <w:t>(c)</w:t>
            </w:r>
          </w:p>
          <w:p w14:paraId="07F582D1" w14:textId="77777777" w:rsidR="00757DF9" w:rsidRPr="003B3046" w:rsidRDefault="00757DF9" w:rsidP="00071D4F">
            <w:pPr>
              <w:spacing w:after="0"/>
              <w:jc w:val="center"/>
              <w:rPr>
                <w:b/>
              </w:rPr>
            </w:pPr>
            <w:r w:rsidRPr="003B3046">
              <w:rPr>
                <w:b/>
              </w:rPr>
              <w:t>$</w:t>
            </w:r>
          </w:p>
        </w:tc>
        <w:tc>
          <w:tcPr>
            <w:tcW w:w="992" w:type="dxa"/>
            <w:shd w:val="clear" w:color="auto" w:fill="F2F2F2"/>
          </w:tcPr>
          <w:p w14:paraId="07F582D2" w14:textId="77777777" w:rsidR="00757DF9" w:rsidRPr="003B3046" w:rsidRDefault="00757DF9" w:rsidP="00071D4F">
            <w:pPr>
              <w:spacing w:after="0"/>
              <w:jc w:val="center"/>
              <w:rPr>
                <w:b/>
              </w:rPr>
            </w:pPr>
            <w:r>
              <w:rPr>
                <w:b/>
              </w:rPr>
              <w:t>Income tax deprec-iation</w:t>
            </w:r>
          </w:p>
          <w:p w14:paraId="07F582D3" w14:textId="77777777" w:rsidR="00757DF9" w:rsidRPr="003B3046" w:rsidRDefault="00757DF9" w:rsidP="00071D4F">
            <w:pPr>
              <w:spacing w:after="0"/>
              <w:jc w:val="center"/>
              <w:rPr>
                <w:b/>
              </w:rPr>
            </w:pPr>
            <w:r>
              <w:rPr>
                <w:b/>
              </w:rPr>
              <w:t>(d)</w:t>
            </w:r>
          </w:p>
          <w:p w14:paraId="07F582D4" w14:textId="77777777" w:rsidR="00757DF9" w:rsidRPr="003B3046" w:rsidRDefault="00757DF9" w:rsidP="00071D4F">
            <w:pPr>
              <w:spacing w:after="0"/>
              <w:jc w:val="center"/>
              <w:rPr>
                <w:b/>
              </w:rPr>
            </w:pPr>
            <w:r w:rsidRPr="003B3046">
              <w:rPr>
                <w:b/>
              </w:rPr>
              <w:t>$</w:t>
            </w:r>
          </w:p>
        </w:tc>
        <w:tc>
          <w:tcPr>
            <w:tcW w:w="992" w:type="dxa"/>
            <w:shd w:val="clear" w:color="auto" w:fill="F2F2F2"/>
          </w:tcPr>
          <w:p w14:paraId="07F582D5" w14:textId="77777777" w:rsidR="00757DF9" w:rsidRDefault="00757DF9" w:rsidP="00071D4F">
            <w:pPr>
              <w:spacing w:after="0"/>
              <w:jc w:val="center"/>
              <w:rPr>
                <w:b/>
              </w:rPr>
            </w:pPr>
            <w:r>
              <w:rPr>
                <w:b/>
              </w:rPr>
              <w:t>Taxable income post-NCT</w:t>
            </w:r>
            <w:r w:rsidRPr="003B3046">
              <w:rPr>
                <w:b/>
              </w:rPr>
              <w:t xml:space="preserve"> </w:t>
            </w:r>
          </w:p>
          <w:p w14:paraId="07F582D6" w14:textId="77777777" w:rsidR="00757DF9" w:rsidRPr="003B3046" w:rsidRDefault="00757DF9" w:rsidP="00071D4F">
            <w:pPr>
              <w:spacing w:after="0"/>
              <w:jc w:val="center"/>
              <w:rPr>
                <w:b/>
              </w:rPr>
            </w:pPr>
            <w:r>
              <w:rPr>
                <w:b/>
              </w:rPr>
              <w:t xml:space="preserve"> (e)</w:t>
            </w:r>
          </w:p>
          <w:p w14:paraId="07F582D7" w14:textId="77777777" w:rsidR="00757DF9" w:rsidRPr="003B3046" w:rsidRDefault="00757DF9" w:rsidP="00071D4F">
            <w:pPr>
              <w:spacing w:after="0"/>
              <w:jc w:val="center"/>
              <w:rPr>
                <w:b/>
              </w:rPr>
            </w:pPr>
            <w:r w:rsidRPr="003B3046">
              <w:rPr>
                <w:b/>
              </w:rPr>
              <w:t>$</w:t>
            </w:r>
          </w:p>
        </w:tc>
        <w:tc>
          <w:tcPr>
            <w:tcW w:w="1134" w:type="dxa"/>
            <w:shd w:val="clear" w:color="auto" w:fill="F2F2F2"/>
          </w:tcPr>
          <w:p w14:paraId="07F582D8" w14:textId="77777777" w:rsidR="00757DF9" w:rsidRDefault="00757DF9" w:rsidP="00071D4F">
            <w:pPr>
              <w:spacing w:after="0"/>
              <w:jc w:val="center"/>
              <w:rPr>
                <w:b/>
              </w:rPr>
            </w:pPr>
            <w:r>
              <w:rPr>
                <w:b/>
              </w:rPr>
              <w:t>Income tax paymts</w:t>
            </w:r>
          </w:p>
          <w:p w14:paraId="07F582D9" w14:textId="77777777" w:rsidR="00757DF9" w:rsidRDefault="00757DF9" w:rsidP="00071D4F">
            <w:pPr>
              <w:spacing w:after="0"/>
              <w:jc w:val="center"/>
              <w:rPr>
                <w:b/>
              </w:rPr>
            </w:pPr>
          </w:p>
          <w:p w14:paraId="07F582DA" w14:textId="77777777" w:rsidR="00757DF9" w:rsidRDefault="00757DF9" w:rsidP="00071D4F">
            <w:pPr>
              <w:spacing w:after="0"/>
              <w:jc w:val="center"/>
              <w:rPr>
                <w:b/>
              </w:rPr>
            </w:pPr>
            <w:r>
              <w:rPr>
                <w:b/>
              </w:rPr>
              <w:t>(f)</w:t>
            </w:r>
          </w:p>
          <w:p w14:paraId="07F582DB" w14:textId="77777777" w:rsidR="00757DF9" w:rsidRPr="003B3046" w:rsidRDefault="00757DF9" w:rsidP="00071D4F">
            <w:pPr>
              <w:spacing w:after="0"/>
              <w:jc w:val="center"/>
              <w:rPr>
                <w:b/>
              </w:rPr>
            </w:pPr>
            <w:r>
              <w:rPr>
                <w:b/>
              </w:rPr>
              <w:t>$</w:t>
            </w:r>
          </w:p>
        </w:tc>
        <w:tc>
          <w:tcPr>
            <w:tcW w:w="1134" w:type="dxa"/>
            <w:tcBorders>
              <w:bottom w:val="single" w:sz="4" w:space="0" w:color="auto"/>
            </w:tcBorders>
            <w:shd w:val="clear" w:color="auto" w:fill="F2F2F2"/>
          </w:tcPr>
          <w:p w14:paraId="07F582DC" w14:textId="77777777" w:rsidR="00757DF9" w:rsidRDefault="00757DF9" w:rsidP="00071D4F">
            <w:pPr>
              <w:spacing w:after="0"/>
              <w:jc w:val="center"/>
              <w:rPr>
                <w:b/>
              </w:rPr>
            </w:pPr>
            <w:r w:rsidRPr="003B3046">
              <w:rPr>
                <w:b/>
              </w:rPr>
              <w:t>P</w:t>
            </w:r>
            <w:r>
              <w:rPr>
                <w:b/>
              </w:rPr>
              <w:t>ost</w:t>
            </w:r>
            <w:r w:rsidRPr="003B3046">
              <w:rPr>
                <w:b/>
              </w:rPr>
              <w:t>-</w:t>
            </w:r>
            <w:r>
              <w:rPr>
                <w:b/>
              </w:rPr>
              <w:t xml:space="preserve">all </w:t>
            </w:r>
            <w:r w:rsidRPr="003B3046">
              <w:rPr>
                <w:b/>
              </w:rPr>
              <w:t>tax</w:t>
            </w:r>
            <w:r>
              <w:rPr>
                <w:b/>
              </w:rPr>
              <w:t>es</w:t>
            </w:r>
            <w:r w:rsidRPr="003B3046">
              <w:rPr>
                <w:b/>
              </w:rPr>
              <w:t xml:space="preserve"> cash flow</w:t>
            </w:r>
          </w:p>
          <w:p w14:paraId="07F582DD" w14:textId="77777777" w:rsidR="00757DF9" w:rsidRDefault="00757DF9" w:rsidP="00071D4F">
            <w:pPr>
              <w:spacing w:after="0"/>
              <w:jc w:val="center"/>
              <w:rPr>
                <w:b/>
              </w:rPr>
            </w:pPr>
          </w:p>
          <w:p w14:paraId="07F582DE" w14:textId="77777777" w:rsidR="00757DF9" w:rsidRDefault="00757DF9" w:rsidP="00071D4F">
            <w:pPr>
              <w:spacing w:after="0"/>
              <w:jc w:val="center"/>
              <w:rPr>
                <w:b/>
              </w:rPr>
            </w:pPr>
            <w:r>
              <w:rPr>
                <w:b/>
              </w:rPr>
              <w:t>(g)</w:t>
            </w:r>
          </w:p>
          <w:p w14:paraId="07F582DF" w14:textId="77777777" w:rsidR="00757DF9" w:rsidRPr="003B3046" w:rsidRDefault="00757DF9" w:rsidP="00071D4F">
            <w:pPr>
              <w:spacing w:after="0"/>
              <w:jc w:val="center"/>
              <w:rPr>
                <w:b/>
              </w:rPr>
            </w:pPr>
            <w:r>
              <w:rPr>
                <w:b/>
              </w:rPr>
              <w:t>$</w:t>
            </w:r>
          </w:p>
        </w:tc>
        <w:tc>
          <w:tcPr>
            <w:tcW w:w="1134" w:type="dxa"/>
            <w:tcBorders>
              <w:bottom w:val="single" w:sz="4" w:space="0" w:color="auto"/>
            </w:tcBorders>
            <w:shd w:val="clear" w:color="auto" w:fill="F2F2F2"/>
          </w:tcPr>
          <w:p w14:paraId="07F582E0" w14:textId="77777777" w:rsidR="00757DF9" w:rsidRDefault="00757DF9" w:rsidP="00071D4F">
            <w:pPr>
              <w:spacing w:after="0"/>
              <w:jc w:val="center"/>
              <w:rPr>
                <w:b/>
              </w:rPr>
            </w:pPr>
            <w:r>
              <w:rPr>
                <w:b/>
              </w:rPr>
              <w:t>Total tax revenue</w:t>
            </w:r>
          </w:p>
          <w:p w14:paraId="07F582E1" w14:textId="77777777" w:rsidR="00757DF9" w:rsidRDefault="00757DF9" w:rsidP="00071D4F">
            <w:pPr>
              <w:spacing w:after="0"/>
              <w:jc w:val="center"/>
              <w:rPr>
                <w:b/>
              </w:rPr>
            </w:pPr>
          </w:p>
          <w:p w14:paraId="07F582E2" w14:textId="77777777" w:rsidR="00757DF9" w:rsidRDefault="00757DF9" w:rsidP="00071D4F">
            <w:pPr>
              <w:spacing w:after="0"/>
              <w:jc w:val="center"/>
              <w:rPr>
                <w:b/>
              </w:rPr>
            </w:pPr>
          </w:p>
          <w:p w14:paraId="07F582E3" w14:textId="77777777" w:rsidR="00757DF9" w:rsidRDefault="00757DF9" w:rsidP="00071D4F">
            <w:pPr>
              <w:spacing w:after="0"/>
              <w:jc w:val="center"/>
              <w:rPr>
                <w:b/>
              </w:rPr>
            </w:pPr>
            <w:r>
              <w:rPr>
                <w:b/>
              </w:rPr>
              <w:t>(h)</w:t>
            </w:r>
          </w:p>
          <w:p w14:paraId="07F582E4" w14:textId="77777777" w:rsidR="00757DF9" w:rsidRPr="003B3046" w:rsidRDefault="00757DF9" w:rsidP="00071D4F">
            <w:pPr>
              <w:spacing w:after="0"/>
              <w:jc w:val="center"/>
              <w:rPr>
                <w:b/>
              </w:rPr>
            </w:pPr>
            <w:r>
              <w:rPr>
                <w:b/>
              </w:rPr>
              <w:t xml:space="preserve">$ </w:t>
            </w:r>
          </w:p>
        </w:tc>
      </w:tr>
      <w:tr w:rsidR="006804E5" w14:paraId="07F582EF" w14:textId="77777777" w:rsidTr="00024A27">
        <w:tc>
          <w:tcPr>
            <w:tcW w:w="817" w:type="dxa"/>
          </w:tcPr>
          <w:p w14:paraId="07F582E6" w14:textId="77777777" w:rsidR="006804E5" w:rsidRPr="003B3046" w:rsidRDefault="006804E5" w:rsidP="00071D4F">
            <w:pPr>
              <w:spacing w:after="0"/>
              <w:jc w:val="center"/>
              <w:rPr>
                <w:b/>
              </w:rPr>
            </w:pPr>
            <w:r w:rsidRPr="003B3046">
              <w:rPr>
                <w:b/>
              </w:rPr>
              <w:t>0</w:t>
            </w:r>
          </w:p>
        </w:tc>
        <w:tc>
          <w:tcPr>
            <w:tcW w:w="992" w:type="dxa"/>
            <w:shd w:val="clear" w:color="auto" w:fill="F2F2F2"/>
            <w:vAlign w:val="bottom"/>
          </w:tcPr>
          <w:p w14:paraId="07F582E7" w14:textId="77777777" w:rsidR="006804E5" w:rsidRDefault="006804E5" w:rsidP="00071D4F">
            <w:pPr>
              <w:jc w:val="right"/>
              <w:rPr>
                <w:rFonts w:ascii="Calibri" w:hAnsi="Calibri" w:cs="Calibri"/>
                <w:color w:val="000000"/>
              </w:rPr>
            </w:pPr>
            <w:r>
              <w:rPr>
                <w:rFonts w:ascii="Calibri" w:hAnsi="Calibri" w:cs="Calibri"/>
                <w:color w:val="000000"/>
              </w:rPr>
              <w:t>-500000</w:t>
            </w:r>
          </w:p>
        </w:tc>
        <w:tc>
          <w:tcPr>
            <w:tcW w:w="993" w:type="dxa"/>
            <w:vAlign w:val="bottom"/>
          </w:tcPr>
          <w:p w14:paraId="07F582E8" w14:textId="77777777" w:rsidR="006804E5" w:rsidRDefault="006804E5" w:rsidP="00071D4F">
            <w:pPr>
              <w:jc w:val="right"/>
              <w:rPr>
                <w:rFonts w:ascii="Calibri" w:hAnsi="Calibri" w:cs="Calibri"/>
                <w:color w:val="000000"/>
              </w:rPr>
            </w:pPr>
            <w:r>
              <w:rPr>
                <w:rFonts w:ascii="Calibri" w:hAnsi="Calibri" w:cs="Calibri"/>
                <w:color w:val="000000"/>
              </w:rPr>
              <w:t>-25000</w:t>
            </w:r>
          </w:p>
        </w:tc>
        <w:tc>
          <w:tcPr>
            <w:tcW w:w="992" w:type="dxa"/>
            <w:shd w:val="clear" w:color="auto" w:fill="F2F2F2"/>
            <w:vAlign w:val="bottom"/>
          </w:tcPr>
          <w:p w14:paraId="07F582E9" w14:textId="77777777" w:rsidR="006804E5" w:rsidRDefault="006804E5" w:rsidP="00071D4F">
            <w:pPr>
              <w:jc w:val="right"/>
              <w:rPr>
                <w:rFonts w:ascii="Calibri" w:hAnsi="Calibri" w:cs="Calibri"/>
                <w:color w:val="000000"/>
              </w:rPr>
            </w:pPr>
            <w:r>
              <w:rPr>
                <w:rFonts w:ascii="Calibri" w:hAnsi="Calibri" w:cs="Calibri"/>
                <w:color w:val="000000"/>
              </w:rPr>
              <w:t>-475000</w:t>
            </w:r>
          </w:p>
        </w:tc>
        <w:tc>
          <w:tcPr>
            <w:tcW w:w="992" w:type="dxa"/>
          </w:tcPr>
          <w:p w14:paraId="07F582EA" w14:textId="77777777" w:rsidR="006804E5" w:rsidRDefault="006804E5" w:rsidP="00071D4F">
            <w:pPr>
              <w:spacing w:after="0"/>
              <w:jc w:val="center"/>
            </w:pPr>
          </w:p>
        </w:tc>
        <w:tc>
          <w:tcPr>
            <w:tcW w:w="992" w:type="dxa"/>
          </w:tcPr>
          <w:p w14:paraId="07F582EB" w14:textId="77777777" w:rsidR="006804E5" w:rsidRDefault="006804E5" w:rsidP="00071D4F">
            <w:pPr>
              <w:spacing w:after="0"/>
              <w:jc w:val="center"/>
            </w:pPr>
          </w:p>
        </w:tc>
        <w:tc>
          <w:tcPr>
            <w:tcW w:w="1134" w:type="dxa"/>
          </w:tcPr>
          <w:p w14:paraId="07F582EC" w14:textId="77777777" w:rsidR="006804E5" w:rsidRDefault="006804E5" w:rsidP="00071D4F">
            <w:pPr>
              <w:spacing w:after="0"/>
              <w:jc w:val="center"/>
            </w:pPr>
          </w:p>
        </w:tc>
        <w:tc>
          <w:tcPr>
            <w:tcW w:w="1134" w:type="dxa"/>
            <w:shd w:val="clear" w:color="auto" w:fill="F2F2F2"/>
            <w:vAlign w:val="bottom"/>
          </w:tcPr>
          <w:p w14:paraId="07F582ED" w14:textId="77777777" w:rsidR="006804E5" w:rsidRDefault="006804E5">
            <w:pPr>
              <w:jc w:val="right"/>
              <w:rPr>
                <w:rFonts w:ascii="Calibri" w:hAnsi="Calibri" w:cs="Calibri"/>
                <w:color w:val="000000"/>
              </w:rPr>
            </w:pPr>
            <w:r>
              <w:rPr>
                <w:rFonts w:ascii="Calibri" w:hAnsi="Calibri" w:cs="Calibri"/>
                <w:color w:val="000000"/>
              </w:rPr>
              <w:t>-475000</w:t>
            </w:r>
          </w:p>
        </w:tc>
        <w:tc>
          <w:tcPr>
            <w:tcW w:w="1134" w:type="dxa"/>
            <w:shd w:val="clear" w:color="auto" w:fill="F2F2F2"/>
            <w:vAlign w:val="bottom"/>
          </w:tcPr>
          <w:p w14:paraId="07F582EE" w14:textId="77777777" w:rsidR="006804E5" w:rsidRDefault="006804E5">
            <w:pPr>
              <w:jc w:val="right"/>
              <w:rPr>
                <w:rFonts w:ascii="Calibri" w:hAnsi="Calibri" w:cs="Calibri"/>
                <w:color w:val="000000"/>
              </w:rPr>
            </w:pPr>
            <w:r>
              <w:rPr>
                <w:rFonts w:ascii="Calibri" w:hAnsi="Calibri" w:cs="Calibri"/>
                <w:color w:val="000000"/>
              </w:rPr>
              <w:t>-25000</w:t>
            </w:r>
          </w:p>
        </w:tc>
      </w:tr>
      <w:tr w:rsidR="006804E5" w14:paraId="07F582F9" w14:textId="77777777" w:rsidTr="00024A27">
        <w:tc>
          <w:tcPr>
            <w:tcW w:w="817" w:type="dxa"/>
          </w:tcPr>
          <w:p w14:paraId="07F582F0" w14:textId="77777777" w:rsidR="006804E5" w:rsidRPr="003B3046" w:rsidRDefault="006804E5" w:rsidP="00071D4F">
            <w:pPr>
              <w:spacing w:after="0"/>
              <w:jc w:val="center"/>
              <w:rPr>
                <w:b/>
              </w:rPr>
            </w:pPr>
            <w:r w:rsidRPr="003B3046">
              <w:rPr>
                <w:b/>
              </w:rPr>
              <w:t>1</w:t>
            </w:r>
          </w:p>
        </w:tc>
        <w:tc>
          <w:tcPr>
            <w:tcW w:w="992" w:type="dxa"/>
            <w:shd w:val="clear" w:color="auto" w:fill="F2F2F2"/>
            <w:vAlign w:val="bottom"/>
          </w:tcPr>
          <w:p w14:paraId="07F582F1" w14:textId="77777777" w:rsidR="006804E5" w:rsidRDefault="006804E5" w:rsidP="00071D4F">
            <w:pPr>
              <w:jc w:val="right"/>
              <w:rPr>
                <w:rFonts w:ascii="Calibri" w:hAnsi="Calibri" w:cs="Calibri"/>
                <w:color w:val="000000"/>
              </w:rPr>
            </w:pPr>
            <w:r>
              <w:rPr>
                <w:rFonts w:ascii="Calibri" w:hAnsi="Calibri" w:cs="Calibri"/>
                <w:color w:val="000000"/>
              </w:rPr>
              <w:t>131899</w:t>
            </w:r>
          </w:p>
        </w:tc>
        <w:tc>
          <w:tcPr>
            <w:tcW w:w="993" w:type="dxa"/>
            <w:vAlign w:val="bottom"/>
          </w:tcPr>
          <w:p w14:paraId="07F582F2" w14:textId="77777777" w:rsidR="006804E5" w:rsidRDefault="006804E5" w:rsidP="00071D4F">
            <w:pPr>
              <w:jc w:val="right"/>
              <w:rPr>
                <w:rFonts w:ascii="Calibri" w:hAnsi="Calibri" w:cs="Calibri"/>
                <w:color w:val="000000"/>
              </w:rPr>
            </w:pPr>
            <w:r>
              <w:rPr>
                <w:rFonts w:ascii="Calibri" w:hAnsi="Calibri" w:cs="Calibri"/>
                <w:color w:val="000000"/>
              </w:rPr>
              <w:t>6595</w:t>
            </w:r>
          </w:p>
        </w:tc>
        <w:tc>
          <w:tcPr>
            <w:tcW w:w="992" w:type="dxa"/>
            <w:shd w:val="clear" w:color="auto" w:fill="F2F2F2"/>
            <w:vAlign w:val="bottom"/>
          </w:tcPr>
          <w:p w14:paraId="07F582F3" w14:textId="77777777" w:rsidR="006804E5" w:rsidRDefault="006804E5" w:rsidP="00071D4F">
            <w:pPr>
              <w:jc w:val="right"/>
              <w:rPr>
                <w:rFonts w:ascii="Calibri" w:hAnsi="Calibri" w:cs="Calibri"/>
                <w:color w:val="000000"/>
              </w:rPr>
            </w:pPr>
            <w:r>
              <w:rPr>
                <w:rFonts w:ascii="Calibri" w:hAnsi="Calibri" w:cs="Calibri"/>
                <w:color w:val="000000"/>
              </w:rPr>
              <w:t>125304</w:t>
            </w:r>
          </w:p>
        </w:tc>
        <w:tc>
          <w:tcPr>
            <w:tcW w:w="992" w:type="dxa"/>
            <w:vAlign w:val="bottom"/>
          </w:tcPr>
          <w:p w14:paraId="07F582F4" w14:textId="77777777" w:rsidR="006804E5" w:rsidRDefault="006804E5">
            <w:pPr>
              <w:jc w:val="right"/>
              <w:rPr>
                <w:rFonts w:ascii="Calibri" w:hAnsi="Calibri" w:cs="Calibri"/>
                <w:color w:val="000000"/>
              </w:rPr>
            </w:pPr>
            <w:r>
              <w:rPr>
                <w:rFonts w:ascii="Calibri" w:hAnsi="Calibri" w:cs="Calibri"/>
                <w:color w:val="000000"/>
              </w:rPr>
              <w:t>-77804</w:t>
            </w:r>
          </w:p>
        </w:tc>
        <w:tc>
          <w:tcPr>
            <w:tcW w:w="992" w:type="dxa"/>
            <w:vAlign w:val="bottom"/>
          </w:tcPr>
          <w:p w14:paraId="07F582F5" w14:textId="77777777" w:rsidR="006804E5" w:rsidRDefault="006804E5">
            <w:pPr>
              <w:jc w:val="right"/>
              <w:rPr>
                <w:rFonts w:ascii="Calibri" w:hAnsi="Calibri" w:cs="Calibri"/>
                <w:color w:val="000000"/>
              </w:rPr>
            </w:pPr>
            <w:r>
              <w:rPr>
                <w:rFonts w:ascii="Calibri" w:hAnsi="Calibri" w:cs="Calibri"/>
                <w:color w:val="000000"/>
              </w:rPr>
              <w:t>47500</w:t>
            </w:r>
          </w:p>
        </w:tc>
        <w:tc>
          <w:tcPr>
            <w:tcW w:w="1134" w:type="dxa"/>
            <w:vAlign w:val="bottom"/>
          </w:tcPr>
          <w:p w14:paraId="07F582F6" w14:textId="77777777" w:rsidR="006804E5" w:rsidRDefault="006804E5">
            <w:pPr>
              <w:jc w:val="right"/>
              <w:rPr>
                <w:rFonts w:ascii="Calibri" w:hAnsi="Calibri" w:cs="Calibri"/>
                <w:color w:val="000000"/>
              </w:rPr>
            </w:pPr>
            <w:r>
              <w:rPr>
                <w:rFonts w:ascii="Calibri" w:hAnsi="Calibri" w:cs="Calibri"/>
                <w:color w:val="000000"/>
              </w:rPr>
              <w:t>14250</w:t>
            </w:r>
          </w:p>
        </w:tc>
        <w:tc>
          <w:tcPr>
            <w:tcW w:w="1134" w:type="dxa"/>
            <w:shd w:val="clear" w:color="auto" w:fill="F2F2F2"/>
            <w:vAlign w:val="bottom"/>
          </w:tcPr>
          <w:p w14:paraId="07F582F7" w14:textId="77777777" w:rsidR="006804E5" w:rsidRDefault="006804E5">
            <w:pPr>
              <w:jc w:val="right"/>
              <w:rPr>
                <w:rFonts w:ascii="Calibri" w:hAnsi="Calibri" w:cs="Calibri"/>
                <w:color w:val="000000"/>
              </w:rPr>
            </w:pPr>
            <w:r>
              <w:rPr>
                <w:rFonts w:ascii="Calibri" w:hAnsi="Calibri" w:cs="Calibri"/>
                <w:color w:val="000000"/>
              </w:rPr>
              <w:t>111054</w:t>
            </w:r>
          </w:p>
        </w:tc>
        <w:tc>
          <w:tcPr>
            <w:tcW w:w="1134" w:type="dxa"/>
            <w:shd w:val="clear" w:color="auto" w:fill="F2F2F2"/>
            <w:vAlign w:val="bottom"/>
          </w:tcPr>
          <w:p w14:paraId="07F582F8" w14:textId="77777777" w:rsidR="006804E5" w:rsidRDefault="006804E5">
            <w:pPr>
              <w:jc w:val="right"/>
              <w:rPr>
                <w:rFonts w:ascii="Calibri" w:hAnsi="Calibri" w:cs="Calibri"/>
                <w:color w:val="000000"/>
              </w:rPr>
            </w:pPr>
            <w:r>
              <w:rPr>
                <w:rFonts w:ascii="Calibri" w:hAnsi="Calibri" w:cs="Calibri"/>
                <w:color w:val="000000"/>
              </w:rPr>
              <w:t>20845</w:t>
            </w:r>
          </w:p>
        </w:tc>
      </w:tr>
      <w:tr w:rsidR="006804E5" w14:paraId="07F58303" w14:textId="77777777" w:rsidTr="00024A27">
        <w:tc>
          <w:tcPr>
            <w:tcW w:w="817" w:type="dxa"/>
          </w:tcPr>
          <w:p w14:paraId="07F582FA" w14:textId="77777777" w:rsidR="006804E5" w:rsidRPr="003B3046" w:rsidRDefault="006804E5" w:rsidP="00071D4F">
            <w:pPr>
              <w:spacing w:after="0"/>
              <w:jc w:val="center"/>
              <w:rPr>
                <w:b/>
              </w:rPr>
            </w:pPr>
            <w:r>
              <w:rPr>
                <w:b/>
              </w:rPr>
              <w:t>2</w:t>
            </w:r>
          </w:p>
        </w:tc>
        <w:tc>
          <w:tcPr>
            <w:tcW w:w="992" w:type="dxa"/>
            <w:shd w:val="clear" w:color="auto" w:fill="F2F2F2"/>
            <w:vAlign w:val="bottom"/>
          </w:tcPr>
          <w:p w14:paraId="07F582FB" w14:textId="77777777" w:rsidR="006804E5" w:rsidRDefault="006804E5" w:rsidP="00071D4F">
            <w:pPr>
              <w:jc w:val="right"/>
              <w:rPr>
                <w:rFonts w:ascii="Calibri" w:hAnsi="Calibri" w:cs="Calibri"/>
                <w:color w:val="000000"/>
              </w:rPr>
            </w:pPr>
            <w:r>
              <w:rPr>
                <w:rFonts w:ascii="Calibri" w:hAnsi="Calibri" w:cs="Calibri"/>
                <w:color w:val="000000"/>
              </w:rPr>
              <w:t>131899</w:t>
            </w:r>
          </w:p>
        </w:tc>
        <w:tc>
          <w:tcPr>
            <w:tcW w:w="993" w:type="dxa"/>
            <w:vAlign w:val="bottom"/>
          </w:tcPr>
          <w:p w14:paraId="07F582FC" w14:textId="77777777" w:rsidR="006804E5" w:rsidRDefault="006804E5" w:rsidP="00071D4F">
            <w:pPr>
              <w:jc w:val="right"/>
              <w:rPr>
                <w:rFonts w:ascii="Calibri" w:hAnsi="Calibri" w:cs="Calibri"/>
                <w:color w:val="000000"/>
              </w:rPr>
            </w:pPr>
            <w:r>
              <w:rPr>
                <w:rFonts w:ascii="Calibri" w:hAnsi="Calibri" w:cs="Calibri"/>
                <w:color w:val="000000"/>
              </w:rPr>
              <w:t>6595</w:t>
            </w:r>
          </w:p>
        </w:tc>
        <w:tc>
          <w:tcPr>
            <w:tcW w:w="992" w:type="dxa"/>
            <w:shd w:val="clear" w:color="auto" w:fill="F2F2F2"/>
            <w:vAlign w:val="bottom"/>
          </w:tcPr>
          <w:p w14:paraId="07F582FD" w14:textId="77777777" w:rsidR="006804E5" w:rsidRDefault="006804E5" w:rsidP="00071D4F">
            <w:pPr>
              <w:jc w:val="right"/>
              <w:rPr>
                <w:rFonts w:ascii="Calibri" w:hAnsi="Calibri" w:cs="Calibri"/>
                <w:color w:val="000000"/>
              </w:rPr>
            </w:pPr>
            <w:r>
              <w:rPr>
                <w:rFonts w:ascii="Calibri" w:hAnsi="Calibri" w:cs="Calibri"/>
                <w:color w:val="000000"/>
              </w:rPr>
              <w:t>125304</w:t>
            </w:r>
          </w:p>
        </w:tc>
        <w:tc>
          <w:tcPr>
            <w:tcW w:w="992" w:type="dxa"/>
            <w:vAlign w:val="bottom"/>
          </w:tcPr>
          <w:p w14:paraId="07F582FE" w14:textId="77777777" w:rsidR="006804E5" w:rsidRDefault="006804E5">
            <w:pPr>
              <w:jc w:val="right"/>
              <w:rPr>
                <w:rFonts w:ascii="Calibri" w:hAnsi="Calibri" w:cs="Calibri"/>
                <w:color w:val="000000"/>
              </w:rPr>
            </w:pPr>
            <w:r>
              <w:rPr>
                <w:rFonts w:ascii="Calibri" w:hAnsi="Calibri" w:cs="Calibri"/>
                <w:color w:val="000000"/>
              </w:rPr>
              <w:t>-85584</w:t>
            </w:r>
          </w:p>
        </w:tc>
        <w:tc>
          <w:tcPr>
            <w:tcW w:w="992" w:type="dxa"/>
            <w:vAlign w:val="bottom"/>
          </w:tcPr>
          <w:p w14:paraId="07F582FF" w14:textId="77777777" w:rsidR="006804E5" w:rsidRDefault="006804E5">
            <w:pPr>
              <w:jc w:val="right"/>
              <w:rPr>
                <w:rFonts w:ascii="Calibri" w:hAnsi="Calibri" w:cs="Calibri"/>
                <w:color w:val="000000"/>
              </w:rPr>
            </w:pPr>
            <w:r>
              <w:rPr>
                <w:rFonts w:ascii="Calibri" w:hAnsi="Calibri" w:cs="Calibri"/>
                <w:color w:val="000000"/>
              </w:rPr>
              <w:t>39720</w:t>
            </w:r>
          </w:p>
        </w:tc>
        <w:tc>
          <w:tcPr>
            <w:tcW w:w="1134" w:type="dxa"/>
            <w:vAlign w:val="bottom"/>
          </w:tcPr>
          <w:p w14:paraId="07F58300" w14:textId="77777777" w:rsidR="006804E5" w:rsidRDefault="006804E5">
            <w:pPr>
              <w:jc w:val="right"/>
              <w:rPr>
                <w:rFonts w:ascii="Calibri" w:hAnsi="Calibri" w:cs="Calibri"/>
                <w:color w:val="000000"/>
              </w:rPr>
            </w:pPr>
            <w:r>
              <w:rPr>
                <w:rFonts w:ascii="Calibri" w:hAnsi="Calibri" w:cs="Calibri"/>
                <w:color w:val="000000"/>
              </w:rPr>
              <w:t>11916</w:t>
            </w:r>
          </w:p>
        </w:tc>
        <w:tc>
          <w:tcPr>
            <w:tcW w:w="1134" w:type="dxa"/>
            <w:shd w:val="clear" w:color="auto" w:fill="F2F2F2"/>
            <w:vAlign w:val="bottom"/>
          </w:tcPr>
          <w:p w14:paraId="07F58301" w14:textId="77777777" w:rsidR="006804E5" w:rsidRDefault="006804E5">
            <w:pPr>
              <w:jc w:val="right"/>
              <w:rPr>
                <w:rFonts w:ascii="Calibri" w:hAnsi="Calibri" w:cs="Calibri"/>
                <w:color w:val="000000"/>
              </w:rPr>
            </w:pPr>
            <w:r>
              <w:rPr>
                <w:rFonts w:ascii="Calibri" w:hAnsi="Calibri" w:cs="Calibri"/>
                <w:color w:val="000000"/>
              </w:rPr>
              <w:t>113388</w:t>
            </w:r>
          </w:p>
        </w:tc>
        <w:tc>
          <w:tcPr>
            <w:tcW w:w="1134" w:type="dxa"/>
            <w:shd w:val="clear" w:color="auto" w:fill="F2F2F2"/>
            <w:vAlign w:val="bottom"/>
          </w:tcPr>
          <w:p w14:paraId="07F58302" w14:textId="77777777" w:rsidR="006804E5" w:rsidRDefault="006804E5">
            <w:pPr>
              <w:jc w:val="right"/>
              <w:rPr>
                <w:rFonts w:ascii="Calibri" w:hAnsi="Calibri" w:cs="Calibri"/>
                <w:color w:val="000000"/>
              </w:rPr>
            </w:pPr>
            <w:r>
              <w:rPr>
                <w:rFonts w:ascii="Calibri" w:hAnsi="Calibri" w:cs="Calibri"/>
                <w:color w:val="000000"/>
              </w:rPr>
              <w:t>18511</w:t>
            </w:r>
          </w:p>
        </w:tc>
      </w:tr>
      <w:tr w:rsidR="006804E5" w14:paraId="07F5830D" w14:textId="77777777" w:rsidTr="00024A27">
        <w:tc>
          <w:tcPr>
            <w:tcW w:w="817" w:type="dxa"/>
          </w:tcPr>
          <w:p w14:paraId="07F58304" w14:textId="77777777" w:rsidR="006804E5" w:rsidRPr="003B3046" w:rsidRDefault="006804E5" w:rsidP="00071D4F">
            <w:pPr>
              <w:spacing w:after="0"/>
              <w:jc w:val="center"/>
              <w:rPr>
                <w:b/>
              </w:rPr>
            </w:pPr>
            <w:r w:rsidRPr="003B3046">
              <w:rPr>
                <w:b/>
              </w:rPr>
              <w:t>3</w:t>
            </w:r>
          </w:p>
        </w:tc>
        <w:tc>
          <w:tcPr>
            <w:tcW w:w="992" w:type="dxa"/>
            <w:shd w:val="clear" w:color="auto" w:fill="F2F2F2"/>
            <w:vAlign w:val="bottom"/>
          </w:tcPr>
          <w:p w14:paraId="07F58305" w14:textId="77777777" w:rsidR="006804E5" w:rsidRDefault="006804E5" w:rsidP="00071D4F">
            <w:pPr>
              <w:jc w:val="right"/>
              <w:rPr>
                <w:rFonts w:ascii="Calibri" w:hAnsi="Calibri" w:cs="Calibri"/>
                <w:color w:val="000000"/>
              </w:rPr>
            </w:pPr>
            <w:r>
              <w:rPr>
                <w:rFonts w:ascii="Calibri" w:hAnsi="Calibri" w:cs="Calibri"/>
                <w:color w:val="000000"/>
              </w:rPr>
              <w:t>131899</w:t>
            </w:r>
          </w:p>
        </w:tc>
        <w:tc>
          <w:tcPr>
            <w:tcW w:w="993" w:type="dxa"/>
            <w:vAlign w:val="bottom"/>
          </w:tcPr>
          <w:p w14:paraId="07F58306" w14:textId="77777777" w:rsidR="006804E5" w:rsidRDefault="006804E5" w:rsidP="00071D4F">
            <w:pPr>
              <w:jc w:val="right"/>
              <w:rPr>
                <w:rFonts w:ascii="Calibri" w:hAnsi="Calibri" w:cs="Calibri"/>
                <w:color w:val="000000"/>
              </w:rPr>
            </w:pPr>
            <w:r>
              <w:rPr>
                <w:rFonts w:ascii="Calibri" w:hAnsi="Calibri" w:cs="Calibri"/>
                <w:color w:val="000000"/>
              </w:rPr>
              <w:t>6595</w:t>
            </w:r>
          </w:p>
        </w:tc>
        <w:tc>
          <w:tcPr>
            <w:tcW w:w="992" w:type="dxa"/>
            <w:shd w:val="clear" w:color="auto" w:fill="F2F2F2"/>
            <w:vAlign w:val="bottom"/>
          </w:tcPr>
          <w:p w14:paraId="07F58307" w14:textId="77777777" w:rsidR="006804E5" w:rsidRDefault="006804E5" w:rsidP="00071D4F">
            <w:pPr>
              <w:jc w:val="right"/>
              <w:rPr>
                <w:rFonts w:ascii="Calibri" w:hAnsi="Calibri" w:cs="Calibri"/>
                <w:color w:val="000000"/>
              </w:rPr>
            </w:pPr>
            <w:r>
              <w:rPr>
                <w:rFonts w:ascii="Calibri" w:hAnsi="Calibri" w:cs="Calibri"/>
                <w:color w:val="000000"/>
              </w:rPr>
              <w:t>125304</w:t>
            </w:r>
          </w:p>
        </w:tc>
        <w:tc>
          <w:tcPr>
            <w:tcW w:w="992" w:type="dxa"/>
            <w:vAlign w:val="bottom"/>
          </w:tcPr>
          <w:p w14:paraId="07F58308" w14:textId="77777777" w:rsidR="006804E5" w:rsidRDefault="006804E5">
            <w:pPr>
              <w:jc w:val="right"/>
              <w:rPr>
                <w:rFonts w:ascii="Calibri" w:hAnsi="Calibri" w:cs="Calibri"/>
                <w:color w:val="000000"/>
              </w:rPr>
            </w:pPr>
            <w:r>
              <w:rPr>
                <w:rFonts w:ascii="Calibri" w:hAnsi="Calibri" w:cs="Calibri"/>
                <w:color w:val="000000"/>
              </w:rPr>
              <w:t>-94143</w:t>
            </w:r>
          </w:p>
        </w:tc>
        <w:tc>
          <w:tcPr>
            <w:tcW w:w="992" w:type="dxa"/>
            <w:vAlign w:val="bottom"/>
          </w:tcPr>
          <w:p w14:paraId="07F58309" w14:textId="77777777" w:rsidR="006804E5" w:rsidRDefault="006804E5">
            <w:pPr>
              <w:jc w:val="right"/>
              <w:rPr>
                <w:rFonts w:ascii="Calibri" w:hAnsi="Calibri" w:cs="Calibri"/>
                <w:color w:val="000000"/>
              </w:rPr>
            </w:pPr>
            <w:r>
              <w:rPr>
                <w:rFonts w:ascii="Calibri" w:hAnsi="Calibri" w:cs="Calibri"/>
                <w:color w:val="000000"/>
              </w:rPr>
              <w:t>31161</w:t>
            </w:r>
          </w:p>
        </w:tc>
        <w:tc>
          <w:tcPr>
            <w:tcW w:w="1134" w:type="dxa"/>
            <w:vAlign w:val="bottom"/>
          </w:tcPr>
          <w:p w14:paraId="07F5830A" w14:textId="77777777" w:rsidR="006804E5" w:rsidRDefault="006804E5">
            <w:pPr>
              <w:jc w:val="right"/>
              <w:rPr>
                <w:rFonts w:ascii="Calibri" w:hAnsi="Calibri" w:cs="Calibri"/>
                <w:color w:val="000000"/>
              </w:rPr>
            </w:pPr>
            <w:r>
              <w:rPr>
                <w:rFonts w:ascii="Calibri" w:hAnsi="Calibri" w:cs="Calibri"/>
                <w:color w:val="000000"/>
              </w:rPr>
              <w:t>9348</w:t>
            </w:r>
          </w:p>
        </w:tc>
        <w:tc>
          <w:tcPr>
            <w:tcW w:w="1134" w:type="dxa"/>
            <w:shd w:val="clear" w:color="auto" w:fill="F2F2F2"/>
            <w:vAlign w:val="bottom"/>
          </w:tcPr>
          <w:p w14:paraId="07F5830B" w14:textId="77777777" w:rsidR="006804E5" w:rsidRDefault="006804E5">
            <w:pPr>
              <w:jc w:val="right"/>
              <w:rPr>
                <w:rFonts w:ascii="Calibri" w:hAnsi="Calibri" w:cs="Calibri"/>
                <w:color w:val="000000"/>
              </w:rPr>
            </w:pPr>
            <w:r>
              <w:rPr>
                <w:rFonts w:ascii="Calibri" w:hAnsi="Calibri" w:cs="Calibri"/>
                <w:color w:val="000000"/>
              </w:rPr>
              <w:t>115956</w:t>
            </w:r>
          </w:p>
        </w:tc>
        <w:tc>
          <w:tcPr>
            <w:tcW w:w="1134" w:type="dxa"/>
            <w:shd w:val="clear" w:color="auto" w:fill="F2F2F2"/>
            <w:vAlign w:val="bottom"/>
          </w:tcPr>
          <w:p w14:paraId="07F5830C" w14:textId="77777777" w:rsidR="006804E5" w:rsidRDefault="006804E5">
            <w:pPr>
              <w:jc w:val="right"/>
              <w:rPr>
                <w:rFonts w:ascii="Calibri" w:hAnsi="Calibri" w:cs="Calibri"/>
                <w:color w:val="000000"/>
              </w:rPr>
            </w:pPr>
            <w:r>
              <w:rPr>
                <w:rFonts w:ascii="Calibri" w:hAnsi="Calibri" w:cs="Calibri"/>
                <w:color w:val="000000"/>
              </w:rPr>
              <w:t>15943</w:t>
            </w:r>
          </w:p>
        </w:tc>
      </w:tr>
      <w:tr w:rsidR="006804E5" w14:paraId="07F58317" w14:textId="77777777" w:rsidTr="00024A27">
        <w:tc>
          <w:tcPr>
            <w:tcW w:w="817" w:type="dxa"/>
          </w:tcPr>
          <w:p w14:paraId="07F5830E" w14:textId="77777777" w:rsidR="006804E5" w:rsidRPr="003B3046" w:rsidRDefault="006804E5" w:rsidP="00071D4F">
            <w:pPr>
              <w:spacing w:after="0"/>
              <w:jc w:val="center"/>
              <w:rPr>
                <w:b/>
              </w:rPr>
            </w:pPr>
            <w:r w:rsidRPr="003B3046">
              <w:rPr>
                <w:b/>
              </w:rPr>
              <w:t>4</w:t>
            </w:r>
          </w:p>
        </w:tc>
        <w:tc>
          <w:tcPr>
            <w:tcW w:w="992" w:type="dxa"/>
            <w:shd w:val="clear" w:color="auto" w:fill="F2F2F2"/>
            <w:vAlign w:val="bottom"/>
          </w:tcPr>
          <w:p w14:paraId="07F5830F" w14:textId="77777777" w:rsidR="006804E5" w:rsidRDefault="006804E5" w:rsidP="00071D4F">
            <w:pPr>
              <w:jc w:val="right"/>
              <w:rPr>
                <w:rFonts w:ascii="Calibri" w:hAnsi="Calibri" w:cs="Calibri"/>
                <w:color w:val="000000"/>
              </w:rPr>
            </w:pPr>
            <w:r>
              <w:rPr>
                <w:rFonts w:ascii="Calibri" w:hAnsi="Calibri" w:cs="Calibri"/>
                <w:color w:val="000000"/>
              </w:rPr>
              <w:t>131899</w:t>
            </w:r>
          </w:p>
        </w:tc>
        <w:tc>
          <w:tcPr>
            <w:tcW w:w="993" w:type="dxa"/>
            <w:vAlign w:val="bottom"/>
          </w:tcPr>
          <w:p w14:paraId="07F58310" w14:textId="77777777" w:rsidR="006804E5" w:rsidRDefault="006804E5" w:rsidP="00071D4F">
            <w:pPr>
              <w:jc w:val="right"/>
              <w:rPr>
                <w:rFonts w:ascii="Calibri" w:hAnsi="Calibri" w:cs="Calibri"/>
                <w:color w:val="000000"/>
              </w:rPr>
            </w:pPr>
            <w:r>
              <w:rPr>
                <w:rFonts w:ascii="Calibri" w:hAnsi="Calibri" w:cs="Calibri"/>
                <w:color w:val="000000"/>
              </w:rPr>
              <w:t>6595</w:t>
            </w:r>
          </w:p>
        </w:tc>
        <w:tc>
          <w:tcPr>
            <w:tcW w:w="992" w:type="dxa"/>
            <w:shd w:val="clear" w:color="auto" w:fill="F2F2F2"/>
            <w:vAlign w:val="bottom"/>
          </w:tcPr>
          <w:p w14:paraId="07F58311" w14:textId="77777777" w:rsidR="006804E5" w:rsidRDefault="006804E5" w:rsidP="00071D4F">
            <w:pPr>
              <w:jc w:val="right"/>
              <w:rPr>
                <w:rFonts w:ascii="Calibri" w:hAnsi="Calibri" w:cs="Calibri"/>
                <w:color w:val="000000"/>
              </w:rPr>
            </w:pPr>
            <w:r>
              <w:rPr>
                <w:rFonts w:ascii="Calibri" w:hAnsi="Calibri" w:cs="Calibri"/>
                <w:color w:val="000000"/>
              </w:rPr>
              <w:t>125304</w:t>
            </w:r>
          </w:p>
        </w:tc>
        <w:tc>
          <w:tcPr>
            <w:tcW w:w="992" w:type="dxa"/>
            <w:vAlign w:val="bottom"/>
          </w:tcPr>
          <w:p w14:paraId="07F58312" w14:textId="77777777" w:rsidR="006804E5" w:rsidRDefault="006804E5">
            <w:pPr>
              <w:jc w:val="right"/>
              <w:rPr>
                <w:rFonts w:ascii="Calibri" w:hAnsi="Calibri" w:cs="Calibri"/>
                <w:color w:val="000000"/>
              </w:rPr>
            </w:pPr>
            <w:r>
              <w:rPr>
                <w:rFonts w:ascii="Calibri" w:hAnsi="Calibri" w:cs="Calibri"/>
                <w:color w:val="000000"/>
              </w:rPr>
              <w:t>-103557</w:t>
            </w:r>
          </w:p>
        </w:tc>
        <w:tc>
          <w:tcPr>
            <w:tcW w:w="992" w:type="dxa"/>
            <w:vAlign w:val="bottom"/>
          </w:tcPr>
          <w:p w14:paraId="07F58313" w14:textId="77777777" w:rsidR="006804E5" w:rsidRDefault="006804E5">
            <w:pPr>
              <w:jc w:val="right"/>
              <w:rPr>
                <w:rFonts w:ascii="Calibri" w:hAnsi="Calibri" w:cs="Calibri"/>
                <w:color w:val="000000"/>
              </w:rPr>
            </w:pPr>
            <w:r>
              <w:rPr>
                <w:rFonts w:ascii="Calibri" w:hAnsi="Calibri" w:cs="Calibri"/>
                <w:color w:val="000000"/>
              </w:rPr>
              <w:t>21747</w:t>
            </w:r>
          </w:p>
        </w:tc>
        <w:tc>
          <w:tcPr>
            <w:tcW w:w="1134" w:type="dxa"/>
            <w:vAlign w:val="bottom"/>
          </w:tcPr>
          <w:p w14:paraId="07F58314" w14:textId="77777777" w:rsidR="006804E5" w:rsidRDefault="006804E5">
            <w:pPr>
              <w:jc w:val="right"/>
              <w:rPr>
                <w:rFonts w:ascii="Calibri" w:hAnsi="Calibri" w:cs="Calibri"/>
                <w:color w:val="000000"/>
              </w:rPr>
            </w:pPr>
            <w:r>
              <w:rPr>
                <w:rFonts w:ascii="Calibri" w:hAnsi="Calibri" w:cs="Calibri"/>
                <w:color w:val="000000"/>
              </w:rPr>
              <w:t>6524</w:t>
            </w:r>
          </w:p>
        </w:tc>
        <w:tc>
          <w:tcPr>
            <w:tcW w:w="1134" w:type="dxa"/>
            <w:shd w:val="clear" w:color="auto" w:fill="F2F2F2"/>
            <w:vAlign w:val="bottom"/>
          </w:tcPr>
          <w:p w14:paraId="07F58315" w14:textId="77777777" w:rsidR="006804E5" w:rsidRDefault="006804E5">
            <w:pPr>
              <w:jc w:val="right"/>
              <w:rPr>
                <w:rFonts w:ascii="Calibri" w:hAnsi="Calibri" w:cs="Calibri"/>
                <w:color w:val="000000"/>
              </w:rPr>
            </w:pPr>
            <w:r>
              <w:rPr>
                <w:rFonts w:ascii="Calibri" w:hAnsi="Calibri" w:cs="Calibri"/>
                <w:color w:val="000000"/>
              </w:rPr>
              <w:t>118780</w:t>
            </w:r>
          </w:p>
        </w:tc>
        <w:tc>
          <w:tcPr>
            <w:tcW w:w="1134" w:type="dxa"/>
            <w:shd w:val="clear" w:color="auto" w:fill="F2F2F2"/>
            <w:vAlign w:val="bottom"/>
          </w:tcPr>
          <w:p w14:paraId="07F58316" w14:textId="77777777" w:rsidR="006804E5" w:rsidRDefault="006804E5">
            <w:pPr>
              <w:jc w:val="right"/>
              <w:rPr>
                <w:rFonts w:ascii="Calibri" w:hAnsi="Calibri" w:cs="Calibri"/>
                <w:color w:val="000000"/>
              </w:rPr>
            </w:pPr>
            <w:r>
              <w:rPr>
                <w:rFonts w:ascii="Calibri" w:hAnsi="Calibri" w:cs="Calibri"/>
                <w:color w:val="000000"/>
              </w:rPr>
              <w:t>13119</w:t>
            </w:r>
          </w:p>
        </w:tc>
      </w:tr>
      <w:tr w:rsidR="006804E5" w14:paraId="07F58321" w14:textId="77777777" w:rsidTr="00024A27">
        <w:tc>
          <w:tcPr>
            <w:tcW w:w="817" w:type="dxa"/>
            <w:tcBorders>
              <w:bottom w:val="single" w:sz="4" w:space="0" w:color="auto"/>
            </w:tcBorders>
          </w:tcPr>
          <w:p w14:paraId="07F58318" w14:textId="77777777" w:rsidR="006804E5" w:rsidRPr="003B3046" w:rsidRDefault="006804E5" w:rsidP="00071D4F">
            <w:pPr>
              <w:spacing w:after="0"/>
              <w:jc w:val="center"/>
              <w:rPr>
                <w:b/>
              </w:rPr>
            </w:pPr>
            <w:r w:rsidRPr="003B3046">
              <w:rPr>
                <w:b/>
              </w:rPr>
              <w:t>5</w:t>
            </w:r>
          </w:p>
        </w:tc>
        <w:tc>
          <w:tcPr>
            <w:tcW w:w="992" w:type="dxa"/>
            <w:tcBorders>
              <w:bottom w:val="single" w:sz="4" w:space="0" w:color="auto"/>
            </w:tcBorders>
            <w:shd w:val="clear" w:color="auto" w:fill="F2F2F2"/>
            <w:vAlign w:val="bottom"/>
          </w:tcPr>
          <w:p w14:paraId="07F58319" w14:textId="77777777" w:rsidR="006804E5" w:rsidRDefault="006804E5" w:rsidP="00071D4F">
            <w:pPr>
              <w:jc w:val="right"/>
              <w:rPr>
                <w:rFonts w:ascii="Calibri" w:hAnsi="Calibri" w:cs="Calibri"/>
                <w:color w:val="000000"/>
              </w:rPr>
            </w:pPr>
            <w:r>
              <w:rPr>
                <w:rFonts w:ascii="Calibri" w:hAnsi="Calibri" w:cs="Calibri"/>
                <w:color w:val="000000"/>
              </w:rPr>
              <w:t>131899</w:t>
            </w:r>
          </w:p>
        </w:tc>
        <w:tc>
          <w:tcPr>
            <w:tcW w:w="993" w:type="dxa"/>
            <w:tcBorders>
              <w:bottom w:val="single" w:sz="4" w:space="0" w:color="auto"/>
            </w:tcBorders>
            <w:vAlign w:val="bottom"/>
          </w:tcPr>
          <w:p w14:paraId="07F5831A" w14:textId="77777777" w:rsidR="006804E5" w:rsidRDefault="006804E5" w:rsidP="00071D4F">
            <w:pPr>
              <w:jc w:val="right"/>
              <w:rPr>
                <w:rFonts w:ascii="Calibri" w:hAnsi="Calibri" w:cs="Calibri"/>
                <w:color w:val="000000"/>
              </w:rPr>
            </w:pPr>
            <w:r>
              <w:rPr>
                <w:rFonts w:ascii="Calibri" w:hAnsi="Calibri" w:cs="Calibri"/>
                <w:color w:val="000000"/>
              </w:rPr>
              <w:t>6595</w:t>
            </w:r>
          </w:p>
        </w:tc>
        <w:tc>
          <w:tcPr>
            <w:tcW w:w="992" w:type="dxa"/>
            <w:tcBorders>
              <w:bottom w:val="single" w:sz="4" w:space="0" w:color="auto"/>
            </w:tcBorders>
            <w:shd w:val="clear" w:color="auto" w:fill="F2F2F2"/>
            <w:vAlign w:val="bottom"/>
          </w:tcPr>
          <w:p w14:paraId="07F5831B" w14:textId="77777777" w:rsidR="006804E5" w:rsidRDefault="006804E5" w:rsidP="00071D4F">
            <w:pPr>
              <w:jc w:val="right"/>
              <w:rPr>
                <w:rFonts w:ascii="Calibri" w:hAnsi="Calibri" w:cs="Calibri"/>
                <w:color w:val="000000"/>
              </w:rPr>
            </w:pPr>
            <w:r>
              <w:rPr>
                <w:rFonts w:ascii="Calibri" w:hAnsi="Calibri" w:cs="Calibri"/>
                <w:color w:val="000000"/>
              </w:rPr>
              <w:t>125304</w:t>
            </w:r>
          </w:p>
        </w:tc>
        <w:tc>
          <w:tcPr>
            <w:tcW w:w="992" w:type="dxa"/>
            <w:tcBorders>
              <w:bottom w:val="single" w:sz="4" w:space="0" w:color="auto"/>
            </w:tcBorders>
            <w:vAlign w:val="bottom"/>
          </w:tcPr>
          <w:p w14:paraId="07F5831C" w14:textId="77777777" w:rsidR="006804E5" w:rsidRDefault="006804E5">
            <w:pPr>
              <w:jc w:val="right"/>
              <w:rPr>
                <w:rFonts w:ascii="Calibri" w:hAnsi="Calibri" w:cs="Calibri"/>
                <w:color w:val="000000"/>
              </w:rPr>
            </w:pPr>
            <w:r>
              <w:rPr>
                <w:rFonts w:ascii="Calibri" w:hAnsi="Calibri" w:cs="Calibri"/>
                <w:color w:val="000000"/>
              </w:rPr>
              <w:t>-113913</w:t>
            </w:r>
          </w:p>
        </w:tc>
        <w:tc>
          <w:tcPr>
            <w:tcW w:w="992" w:type="dxa"/>
            <w:tcBorders>
              <w:bottom w:val="single" w:sz="4" w:space="0" w:color="auto"/>
            </w:tcBorders>
            <w:vAlign w:val="bottom"/>
          </w:tcPr>
          <w:p w14:paraId="07F5831D" w14:textId="77777777" w:rsidR="006804E5" w:rsidRDefault="006804E5">
            <w:pPr>
              <w:jc w:val="right"/>
              <w:rPr>
                <w:rFonts w:ascii="Calibri" w:hAnsi="Calibri" w:cs="Calibri"/>
                <w:color w:val="000000"/>
              </w:rPr>
            </w:pPr>
            <w:r>
              <w:rPr>
                <w:rFonts w:ascii="Calibri" w:hAnsi="Calibri" w:cs="Calibri"/>
                <w:color w:val="000000"/>
              </w:rPr>
              <w:t>11391</w:t>
            </w:r>
          </w:p>
        </w:tc>
        <w:tc>
          <w:tcPr>
            <w:tcW w:w="1134" w:type="dxa"/>
            <w:tcBorders>
              <w:bottom w:val="single" w:sz="4" w:space="0" w:color="auto"/>
            </w:tcBorders>
            <w:vAlign w:val="bottom"/>
          </w:tcPr>
          <w:p w14:paraId="07F5831E" w14:textId="77777777" w:rsidR="006804E5" w:rsidRDefault="006804E5">
            <w:pPr>
              <w:jc w:val="right"/>
              <w:rPr>
                <w:rFonts w:ascii="Calibri" w:hAnsi="Calibri" w:cs="Calibri"/>
                <w:color w:val="000000"/>
              </w:rPr>
            </w:pPr>
            <w:r>
              <w:rPr>
                <w:rFonts w:ascii="Calibri" w:hAnsi="Calibri" w:cs="Calibri"/>
                <w:color w:val="000000"/>
              </w:rPr>
              <w:t>3417</w:t>
            </w:r>
          </w:p>
        </w:tc>
        <w:tc>
          <w:tcPr>
            <w:tcW w:w="1134" w:type="dxa"/>
            <w:tcBorders>
              <w:bottom w:val="single" w:sz="4" w:space="0" w:color="auto"/>
            </w:tcBorders>
            <w:shd w:val="clear" w:color="auto" w:fill="F2F2F2"/>
            <w:vAlign w:val="bottom"/>
          </w:tcPr>
          <w:p w14:paraId="07F5831F" w14:textId="77777777" w:rsidR="006804E5" w:rsidRDefault="006804E5">
            <w:pPr>
              <w:jc w:val="right"/>
              <w:rPr>
                <w:rFonts w:ascii="Calibri" w:hAnsi="Calibri" w:cs="Calibri"/>
                <w:color w:val="000000"/>
              </w:rPr>
            </w:pPr>
            <w:r>
              <w:rPr>
                <w:rFonts w:ascii="Calibri" w:hAnsi="Calibri" w:cs="Calibri"/>
                <w:color w:val="000000"/>
              </w:rPr>
              <w:t>121887</w:t>
            </w:r>
          </w:p>
        </w:tc>
        <w:tc>
          <w:tcPr>
            <w:tcW w:w="1134" w:type="dxa"/>
            <w:tcBorders>
              <w:bottom w:val="single" w:sz="4" w:space="0" w:color="auto"/>
            </w:tcBorders>
            <w:shd w:val="clear" w:color="auto" w:fill="F2F2F2"/>
            <w:vAlign w:val="bottom"/>
          </w:tcPr>
          <w:p w14:paraId="07F58320" w14:textId="77777777" w:rsidR="006804E5" w:rsidRDefault="006804E5">
            <w:pPr>
              <w:jc w:val="right"/>
              <w:rPr>
                <w:rFonts w:ascii="Calibri" w:hAnsi="Calibri" w:cs="Calibri"/>
                <w:color w:val="000000"/>
              </w:rPr>
            </w:pPr>
            <w:r>
              <w:rPr>
                <w:rFonts w:ascii="Calibri" w:hAnsi="Calibri" w:cs="Calibri"/>
                <w:color w:val="000000"/>
              </w:rPr>
              <w:t>10012</w:t>
            </w:r>
          </w:p>
        </w:tc>
      </w:tr>
      <w:tr w:rsidR="00757DF9" w14:paraId="07F5832B" w14:textId="77777777" w:rsidTr="00024A27">
        <w:tc>
          <w:tcPr>
            <w:tcW w:w="817" w:type="dxa"/>
            <w:shd w:val="clear" w:color="auto" w:fill="F2F2F2"/>
          </w:tcPr>
          <w:p w14:paraId="07F58322" w14:textId="77777777" w:rsidR="00757DF9" w:rsidRPr="003B3046" w:rsidRDefault="00757DF9" w:rsidP="00071D4F">
            <w:pPr>
              <w:spacing w:after="0"/>
              <w:rPr>
                <w:b/>
              </w:rPr>
            </w:pPr>
            <w:r w:rsidRPr="003B3046">
              <w:rPr>
                <w:b/>
              </w:rPr>
              <w:t>NPV</w:t>
            </w:r>
          </w:p>
        </w:tc>
        <w:tc>
          <w:tcPr>
            <w:tcW w:w="992" w:type="dxa"/>
            <w:shd w:val="clear" w:color="auto" w:fill="F2F2F2"/>
          </w:tcPr>
          <w:p w14:paraId="07F58323" w14:textId="77777777" w:rsidR="00757DF9" w:rsidRPr="00D03345" w:rsidRDefault="00757DF9" w:rsidP="00071D4F">
            <w:pPr>
              <w:spacing w:after="0"/>
              <w:jc w:val="center"/>
              <w:rPr>
                <w:b/>
              </w:rPr>
            </w:pPr>
            <w:r w:rsidRPr="00D03345">
              <w:rPr>
                <w:b/>
              </w:rPr>
              <w:t>Zero</w:t>
            </w:r>
            <w:r>
              <w:rPr>
                <w:b/>
              </w:rPr>
              <w:t xml:space="preserve"> (i)</w:t>
            </w:r>
          </w:p>
        </w:tc>
        <w:tc>
          <w:tcPr>
            <w:tcW w:w="993" w:type="dxa"/>
            <w:shd w:val="clear" w:color="auto" w:fill="F2F2F2"/>
          </w:tcPr>
          <w:p w14:paraId="07F58324" w14:textId="77777777" w:rsidR="00757DF9" w:rsidRPr="00890336" w:rsidRDefault="00757DF9" w:rsidP="00071D4F">
            <w:pPr>
              <w:spacing w:after="0"/>
              <w:jc w:val="center"/>
              <w:rPr>
                <w:b/>
              </w:rPr>
            </w:pPr>
            <w:r>
              <w:rPr>
                <w:b/>
              </w:rPr>
              <w:t>Zero (i)</w:t>
            </w:r>
          </w:p>
        </w:tc>
        <w:tc>
          <w:tcPr>
            <w:tcW w:w="992" w:type="dxa"/>
            <w:shd w:val="clear" w:color="auto" w:fill="F2F2F2"/>
          </w:tcPr>
          <w:p w14:paraId="07F58325" w14:textId="77777777" w:rsidR="00757DF9" w:rsidRPr="00D90B3B" w:rsidRDefault="00757DF9" w:rsidP="00071D4F">
            <w:pPr>
              <w:spacing w:after="0"/>
              <w:jc w:val="center"/>
              <w:rPr>
                <w:b/>
              </w:rPr>
            </w:pPr>
            <w:r w:rsidRPr="00D90B3B">
              <w:rPr>
                <w:b/>
              </w:rPr>
              <w:t>Zero</w:t>
            </w:r>
            <w:r>
              <w:rPr>
                <w:b/>
              </w:rPr>
              <w:t xml:space="preserve"> (i)</w:t>
            </w:r>
          </w:p>
        </w:tc>
        <w:tc>
          <w:tcPr>
            <w:tcW w:w="992" w:type="dxa"/>
            <w:shd w:val="clear" w:color="auto" w:fill="F2F2F2"/>
          </w:tcPr>
          <w:p w14:paraId="07F58326" w14:textId="77777777" w:rsidR="00757DF9" w:rsidRPr="00890336" w:rsidRDefault="00757DF9" w:rsidP="00071D4F">
            <w:pPr>
              <w:spacing w:after="0"/>
              <w:jc w:val="center"/>
              <w:rPr>
                <w:b/>
              </w:rPr>
            </w:pPr>
          </w:p>
        </w:tc>
        <w:tc>
          <w:tcPr>
            <w:tcW w:w="992" w:type="dxa"/>
            <w:shd w:val="clear" w:color="auto" w:fill="F2F2F2"/>
          </w:tcPr>
          <w:p w14:paraId="07F58327" w14:textId="77777777" w:rsidR="00757DF9" w:rsidRPr="00890336" w:rsidRDefault="00757DF9" w:rsidP="00071D4F">
            <w:pPr>
              <w:spacing w:after="0"/>
              <w:jc w:val="center"/>
              <w:rPr>
                <w:b/>
              </w:rPr>
            </w:pPr>
          </w:p>
        </w:tc>
        <w:tc>
          <w:tcPr>
            <w:tcW w:w="1134" w:type="dxa"/>
            <w:shd w:val="clear" w:color="auto" w:fill="F2F2F2"/>
          </w:tcPr>
          <w:p w14:paraId="07F58328" w14:textId="77777777" w:rsidR="00757DF9" w:rsidRDefault="00024A27" w:rsidP="00024A27">
            <w:pPr>
              <w:spacing w:after="0"/>
              <w:jc w:val="center"/>
              <w:rPr>
                <w:b/>
              </w:rPr>
            </w:pPr>
            <w:r>
              <w:rPr>
                <w:b/>
              </w:rPr>
              <w:t>$33,094(i)</w:t>
            </w:r>
          </w:p>
        </w:tc>
        <w:tc>
          <w:tcPr>
            <w:tcW w:w="1134" w:type="dxa"/>
            <w:shd w:val="clear" w:color="auto" w:fill="FFFFFF" w:themeFill="background1"/>
          </w:tcPr>
          <w:p w14:paraId="07F58329" w14:textId="77777777" w:rsidR="00757DF9" w:rsidRDefault="006804E5" w:rsidP="00071D4F">
            <w:pPr>
              <w:spacing w:after="0"/>
              <w:jc w:val="center"/>
              <w:rPr>
                <w:b/>
              </w:rPr>
            </w:pPr>
            <w:r>
              <w:rPr>
                <w:b/>
              </w:rPr>
              <w:t>Zero</w:t>
            </w:r>
            <w:r w:rsidR="00757DF9">
              <w:rPr>
                <w:b/>
              </w:rPr>
              <w:t xml:space="preserve"> (j)</w:t>
            </w:r>
          </w:p>
        </w:tc>
        <w:tc>
          <w:tcPr>
            <w:tcW w:w="1134" w:type="dxa"/>
            <w:shd w:val="clear" w:color="auto" w:fill="F2F2F2"/>
          </w:tcPr>
          <w:p w14:paraId="07F5832A" w14:textId="77777777" w:rsidR="00757DF9" w:rsidRDefault="00757DF9" w:rsidP="00024A27">
            <w:pPr>
              <w:spacing w:after="0"/>
              <w:jc w:val="center"/>
              <w:rPr>
                <w:b/>
              </w:rPr>
            </w:pPr>
            <w:r>
              <w:rPr>
                <w:b/>
              </w:rPr>
              <w:t>$3</w:t>
            </w:r>
            <w:r w:rsidR="006804E5">
              <w:rPr>
                <w:b/>
              </w:rPr>
              <w:t>3</w:t>
            </w:r>
            <w:r w:rsidR="00771833">
              <w:rPr>
                <w:b/>
              </w:rPr>
              <w:t>,</w:t>
            </w:r>
            <w:r w:rsidR="006804E5">
              <w:rPr>
                <w:b/>
              </w:rPr>
              <w:t>094</w:t>
            </w:r>
            <w:r>
              <w:rPr>
                <w:b/>
              </w:rPr>
              <w:t>(i)</w:t>
            </w:r>
          </w:p>
        </w:tc>
      </w:tr>
      <w:tr w:rsidR="00757DF9" w14:paraId="07F58335" w14:textId="77777777" w:rsidTr="00024A27">
        <w:tc>
          <w:tcPr>
            <w:tcW w:w="817" w:type="dxa"/>
            <w:shd w:val="clear" w:color="auto" w:fill="F2F2F2"/>
          </w:tcPr>
          <w:p w14:paraId="07F5832C" w14:textId="77777777" w:rsidR="00757DF9" w:rsidRPr="003B3046" w:rsidRDefault="00757DF9" w:rsidP="00071D4F">
            <w:pPr>
              <w:spacing w:after="0"/>
              <w:rPr>
                <w:b/>
              </w:rPr>
            </w:pPr>
            <w:r w:rsidRPr="003B3046">
              <w:rPr>
                <w:b/>
              </w:rPr>
              <w:t>IRR</w:t>
            </w:r>
            <w:r>
              <w:rPr>
                <w:b/>
              </w:rPr>
              <w:t xml:space="preserve"> </w:t>
            </w:r>
          </w:p>
        </w:tc>
        <w:tc>
          <w:tcPr>
            <w:tcW w:w="992" w:type="dxa"/>
            <w:shd w:val="clear" w:color="auto" w:fill="F2F2F2"/>
          </w:tcPr>
          <w:p w14:paraId="07F5832D" w14:textId="77777777" w:rsidR="00757DF9" w:rsidRPr="00D03345" w:rsidRDefault="00757DF9" w:rsidP="00071D4F">
            <w:pPr>
              <w:spacing w:after="0"/>
              <w:jc w:val="center"/>
              <w:rPr>
                <w:b/>
              </w:rPr>
            </w:pPr>
            <w:r w:rsidRPr="00D03345">
              <w:rPr>
                <w:b/>
              </w:rPr>
              <w:t>10.0</w:t>
            </w:r>
            <w:r>
              <w:rPr>
                <w:b/>
              </w:rPr>
              <w:t>%</w:t>
            </w:r>
          </w:p>
        </w:tc>
        <w:tc>
          <w:tcPr>
            <w:tcW w:w="993" w:type="dxa"/>
            <w:shd w:val="clear" w:color="auto" w:fill="F2F2F2"/>
          </w:tcPr>
          <w:p w14:paraId="07F5832E" w14:textId="77777777" w:rsidR="00757DF9" w:rsidRPr="00890336" w:rsidRDefault="00757DF9" w:rsidP="00071D4F">
            <w:pPr>
              <w:spacing w:after="0"/>
              <w:jc w:val="center"/>
              <w:rPr>
                <w:b/>
              </w:rPr>
            </w:pPr>
            <w:r>
              <w:rPr>
                <w:b/>
              </w:rPr>
              <w:t>10.0%</w:t>
            </w:r>
          </w:p>
        </w:tc>
        <w:tc>
          <w:tcPr>
            <w:tcW w:w="992" w:type="dxa"/>
            <w:shd w:val="clear" w:color="auto" w:fill="F2F2F2"/>
          </w:tcPr>
          <w:p w14:paraId="07F5832F" w14:textId="77777777" w:rsidR="00757DF9" w:rsidRPr="00D90B3B" w:rsidRDefault="00757DF9" w:rsidP="00071D4F">
            <w:pPr>
              <w:spacing w:after="0"/>
              <w:jc w:val="center"/>
              <w:rPr>
                <w:b/>
              </w:rPr>
            </w:pPr>
            <w:r w:rsidRPr="00D90B3B">
              <w:rPr>
                <w:b/>
              </w:rPr>
              <w:t>10.0</w:t>
            </w:r>
            <w:r>
              <w:rPr>
                <w:b/>
              </w:rPr>
              <w:t>%</w:t>
            </w:r>
          </w:p>
        </w:tc>
        <w:tc>
          <w:tcPr>
            <w:tcW w:w="992" w:type="dxa"/>
            <w:shd w:val="clear" w:color="auto" w:fill="F2F2F2"/>
          </w:tcPr>
          <w:p w14:paraId="07F58330" w14:textId="77777777" w:rsidR="00757DF9" w:rsidRPr="00890336" w:rsidRDefault="00757DF9" w:rsidP="00071D4F">
            <w:pPr>
              <w:spacing w:after="0"/>
              <w:jc w:val="center"/>
              <w:rPr>
                <w:b/>
              </w:rPr>
            </w:pPr>
          </w:p>
        </w:tc>
        <w:tc>
          <w:tcPr>
            <w:tcW w:w="992" w:type="dxa"/>
            <w:shd w:val="clear" w:color="auto" w:fill="F2F2F2"/>
          </w:tcPr>
          <w:p w14:paraId="07F58331" w14:textId="77777777" w:rsidR="00757DF9" w:rsidRPr="00890336" w:rsidRDefault="00757DF9" w:rsidP="00071D4F">
            <w:pPr>
              <w:spacing w:after="0"/>
              <w:jc w:val="center"/>
              <w:rPr>
                <w:b/>
              </w:rPr>
            </w:pPr>
          </w:p>
        </w:tc>
        <w:tc>
          <w:tcPr>
            <w:tcW w:w="1134" w:type="dxa"/>
            <w:shd w:val="clear" w:color="auto" w:fill="F2F2F2"/>
          </w:tcPr>
          <w:p w14:paraId="07F58332" w14:textId="77777777" w:rsidR="00757DF9" w:rsidRDefault="00757DF9" w:rsidP="00071D4F">
            <w:pPr>
              <w:spacing w:after="0"/>
              <w:jc w:val="center"/>
              <w:rPr>
                <w:b/>
              </w:rPr>
            </w:pPr>
          </w:p>
        </w:tc>
        <w:tc>
          <w:tcPr>
            <w:tcW w:w="1134" w:type="dxa"/>
            <w:shd w:val="clear" w:color="auto" w:fill="FFFFFF" w:themeFill="background1"/>
          </w:tcPr>
          <w:p w14:paraId="07F58333" w14:textId="77777777" w:rsidR="00757DF9" w:rsidRDefault="00757DF9" w:rsidP="006804E5">
            <w:pPr>
              <w:spacing w:after="0"/>
              <w:jc w:val="center"/>
              <w:rPr>
                <w:b/>
              </w:rPr>
            </w:pPr>
            <w:r>
              <w:rPr>
                <w:b/>
              </w:rPr>
              <w:t>7.</w:t>
            </w:r>
            <w:r w:rsidR="006804E5">
              <w:rPr>
                <w:b/>
              </w:rPr>
              <w:t>00</w:t>
            </w:r>
            <w:r>
              <w:rPr>
                <w:b/>
              </w:rPr>
              <w:t>%</w:t>
            </w:r>
          </w:p>
        </w:tc>
        <w:tc>
          <w:tcPr>
            <w:tcW w:w="1134" w:type="dxa"/>
            <w:shd w:val="clear" w:color="auto" w:fill="F2F2F2"/>
          </w:tcPr>
          <w:p w14:paraId="07F58334" w14:textId="77777777" w:rsidR="00757DF9" w:rsidRDefault="00757DF9" w:rsidP="00071D4F">
            <w:pPr>
              <w:spacing w:after="0"/>
              <w:jc w:val="center"/>
              <w:rPr>
                <w:b/>
              </w:rPr>
            </w:pPr>
          </w:p>
        </w:tc>
      </w:tr>
      <w:tr w:rsidR="00757DF9" w14:paraId="07F5833F" w14:textId="77777777" w:rsidTr="00024A27">
        <w:tc>
          <w:tcPr>
            <w:tcW w:w="817" w:type="dxa"/>
            <w:shd w:val="clear" w:color="auto" w:fill="F2F2F2"/>
          </w:tcPr>
          <w:p w14:paraId="07F58336" w14:textId="77777777" w:rsidR="00757DF9" w:rsidRPr="003B3046" w:rsidRDefault="00757DF9" w:rsidP="00071D4F">
            <w:pPr>
              <w:spacing w:after="0"/>
              <w:rPr>
                <w:b/>
              </w:rPr>
            </w:pPr>
            <w:r>
              <w:rPr>
                <w:b/>
              </w:rPr>
              <w:t>Sum</w:t>
            </w:r>
          </w:p>
        </w:tc>
        <w:tc>
          <w:tcPr>
            <w:tcW w:w="992" w:type="dxa"/>
            <w:shd w:val="clear" w:color="auto" w:fill="F2F2F2"/>
          </w:tcPr>
          <w:p w14:paraId="07F58337" w14:textId="77777777" w:rsidR="00757DF9" w:rsidRPr="00D03345" w:rsidRDefault="00757DF9" w:rsidP="00071D4F">
            <w:pPr>
              <w:spacing w:after="0"/>
              <w:jc w:val="center"/>
              <w:rPr>
                <w:b/>
              </w:rPr>
            </w:pPr>
          </w:p>
        </w:tc>
        <w:tc>
          <w:tcPr>
            <w:tcW w:w="993" w:type="dxa"/>
            <w:shd w:val="clear" w:color="auto" w:fill="F2F2F2"/>
          </w:tcPr>
          <w:p w14:paraId="07F58338" w14:textId="77777777" w:rsidR="00757DF9" w:rsidRDefault="00757DF9" w:rsidP="00071D4F">
            <w:pPr>
              <w:spacing w:after="0"/>
              <w:jc w:val="center"/>
              <w:rPr>
                <w:b/>
              </w:rPr>
            </w:pPr>
            <w:r>
              <w:rPr>
                <w:b/>
              </w:rPr>
              <w:t>$7,975</w:t>
            </w:r>
          </w:p>
        </w:tc>
        <w:tc>
          <w:tcPr>
            <w:tcW w:w="992" w:type="dxa"/>
            <w:shd w:val="clear" w:color="auto" w:fill="F2F2F2"/>
          </w:tcPr>
          <w:p w14:paraId="07F58339" w14:textId="77777777" w:rsidR="00757DF9" w:rsidRPr="00D90B3B" w:rsidRDefault="00757DF9" w:rsidP="00071D4F">
            <w:pPr>
              <w:spacing w:after="0"/>
              <w:jc w:val="center"/>
              <w:rPr>
                <w:b/>
              </w:rPr>
            </w:pPr>
          </w:p>
        </w:tc>
        <w:tc>
          <w:tcPr>
            <w:tcW w:w="992" w:type="dxa"/>
            <w:shd w:val="clear" w:color="auto" w:fill="F2F2F2"/>
          </w:tcPr>
          <w:p w14:paraId="07F5833A" w14:textId="77777777" w:rsidR="00757DF9" w:rsidRPr="00890336" w:rsidRDefault="00757DF9" w:rsidP="00071D4F">
            <w:pPr>
              <w:spacing w:after="0"/>
              <w:jc w:val="center"/>
              <w:rPr>
                <w:b/>
              </w:rPr>
            </w:pPr>
          </w:p>
        </w:tc>
        <w:tc>
          <w:tcPr>
            <w:tcW w:w="992" w:type="dxa"/>
            <w:shd w:val="clear" w:color="auto" w:fill="F2F2F2"/>
          </w:tcPr>
          <w:p w14:paraId="07F5833B" w14:textId="77777777" w:rsidR="00757DF9" w:rsidRPr="00890336" w:rsidRDefault="00757DF9" w:rsidP="00071D4F">
            <w:pPr>
              <w:spacing w:after="0"/>
              <w:jc w:val="center"/>
              <w:rPr>
                <w:b/>
              </w:rPr>
            </w:pPr>
          </w:p>
        </w:tc>
        <w:tc>
          <w:tcPr>
            <w:tcW w:w="1134" w:type="dxa"/>
            <w:shd w:val="clear" w:color="auto" w:fill="F2F2F2"/>
          </w:tcPr>
          <w:p w14:paraId="07F5833C" w14:textId="77777777" w:rsidR="00757DF9" w:rsidRDefault="00757DF9" w:rsidP="00071D4F">
            <w:pPr>
              <w:spacing w:after="0"/>
              <w:jc w:val="center"/>
              <w:rPr>
                <w:b/>
              </w:rPr>
            </w:pPr>
            <w:r>
              <w:rPr>
                <w:b/>
              </w:rPr>
              <w:t>$45,456</w:t>
            </w:r>
          </w:p>
        </w:tc>
        <w:tc>
          <w:tcPr>
            <w:tcW w:w="1134" w:type="dxa"/>
            <w:shd w:val="clear" w:color="auto" w:fill="F2F2F2"/>
          </w:tcPr>
          <w:p w14:paraId="07F5833D" w14:textId="77777777" w:rsidR="00757DF9" w:rsidRDefault="00757DF9" w:rsidP="00071D4F">
            <w:pPr>
              <w:spacing w:after="0"/>
              <w:jc w:val="center"/>
              <w:rPr>
                <w:b/>
              </w:rPr>
            </w:pPr>
          </w:p>
        </w:tc>
        <w:tc>
          <w:tcPr>
            <w:tcW w:w="1134" w:type="dxa"/>
            <w:shd w:val="clear" w:color="auto" w:fill="F2F2F2"/>
          </w:tcPr>
          <w:p w14:paraId="07F5833E" w14:textId="77777777" w:rsidR="00757DF9" w:rsidRDefault="00757DF9" w:rsidP="00AB1C04">
            <w:pPr>
              <w:spacing w:after="0"/>
              <w:jc w:val="center"/>
              <w:rPr>
                <w:b/>
              </w:rPr>
            </w:pPr>
            <w:r>
              <w:rPr>
                <w:b/>
              </w:rPr>
              <w:t>$53,43</w:t>
            </w:r>
            <w:r w:rsidR="00AB1C04">
              <w:rPr>
                <w:b/>
              </w:rPr>
              <w:t>0</w:t>
            </w:r>
          </w:p>
        </w:tc>
      </w:tr>
    </w:tbl>
    <w:p w14:paraId="07F58340" w14:textId="77777777" w:rsidR="006804E5" w:rsidRDefault="006804E5" w:rsidP="006804E5">
      <w:pPr>
        <w:numPr>
          <w:ilvl w:val="0"/>
          <w:numId w:val="10"/>
        </w:numPr>
        <w:spacing w:after="0"/>
      </w:pPr>
      <w:r>
        <w:t>As in Table B.7 of interim report.</w:t>
      </w:r>
    </w:p>
    <w:p w14:paraId="07F58341" w14:textId="77777777" w:rsidR="006804E5" w:rsidRDefault="006804E5" w:rsidP="006804E5">
      <w:pPr>
        <w:numPr>
          <w:ilvl w:val="0"/>
          <w:numId w:val="10"/>
        </w:numPr>
        <w:spacing w:after="0"/>
      </w:pPr>
      <w:r>
        <w:t xml:space="preserve">5% x Column (a), as in Table B.7 of interim report. </w:t>
      </w:r>
    </w:p>
    <w:p w14:paraId="07F58342" w14:textId="77777777" w:rsidR="006804E5" w:rsidRDefault="006804E5" w:rsidP="006804E5">
      <w:pPr>
        <w:numPr>
          <w:ilvl w:val="0"/>
          <w:numId w:val="10"/>
        </w:numPr>
        <w:spacing w:after="0"/>
      </w:pPr>
      <w:r>
        <w:t>Column (a) less Column (b).</w:t>
      </w:r>
    </w:p>
    <w:p w14:paraId="07F58343" w14:textId="77777777" w:rsidR="006804E5" w:rsidRDefault="006804E5" w:rsidP="006804E5">
      <w:pPr>
        <w:numPr>
          <w:ilvl w:val="0"/>
          <w:numId w:val="10"/>
        </w:numPr>
        <w:spacing w:after="0"/>
      </w:pPr>
      <w:r>
        <w:t>Economic depreciation of asset valued at $475,000 Year 0 that produces constant cash flow until total collapse at end Year 5 (a ‘one-horse-shay’ asset). Value of investment using 10% pa discount rate is got from Year 1 onwards from 10% x prior year value. Annual economic depreciation is then current year less prior year value.</w:t>
      </w:r>
    </w:p>
    <w:p w14:paraId="07F58344" w14:textId="77777777" w:rsidR="006804E5" w:rsidRDefault="006804E5" w:rsidP="006804E5">
      <w:pPr>
        <w:numPr>
          <w:ilvl w:val="0"/>
          <w:numId w:val="10"/>
        </w:numPr>
        <w:spacing w:after="0"/>
      </w:pPr>
      <w:r>
        <w:t>From Year 1, Column (c) less Column (d).</w:t>
      </w:r>
    </w:p>
    <w:p w14:paraId="07F58345" w14:textId="77777777" w:rsidR="006804E5" w:rsidRDefault="006804E5" w:rsidP="006804E5">
      <w:pPr>
        <w:numPr>
          <w:ilvl w:val="0"/>
          <w:numId w:val="10"/>
        </w:numPr>
        <w:spacing w:after="0"/>
      </w:pPr>
      <w:r>
        <w:t>Column (e) x 30% income tax rate.</w:t>
      </w:r>
    </w:p>
    <w:p w14:paraId="07F58346" w14:textId="77777777" w:rsidR="006804E5" w:rsidRDefault="006804E5" w:rsidP="006804E5">
      <w:pPr>
        <w:numPr>
          <w:ilvl w:val="0"/>
          <w:numId w:val="10"/>
        </w:numPr>
        <w:spacing w:after="0"/>
      </w:pPr>
      <w:r>
        <w:t>Column (</w:t>
      </w:r>
      <w:r w:rsidR="00AE704D">
        <w:t>c</w:t>
      </w:r>
      <w:r>
        <w:t xml:space="preserve">) less Column (f). </w:t>
      </w:r>
    </w:p>
    <w:p w14:paraId="07F58347" w14:textId="77777777" w:rsidR="00AE704D" w:rsidRDefault="00AE704D" w:rsidP="006804E5">
      <w:pPr>
        <w:numPr>
          <w:ilvl w:val="0"/>
          <w:numId w:val="10"/>
        </w:numPr>
        <w:spacing w:after="0"/>
      </w:pPr>
      <w:r>
        <w:t>Column (b) plus Column (f).</w:t>
      </w:r>
    </w:p>
    <w:p w14:paraId="07F58348" w14:textId="77777777" w:rsidR="006804E5" w:rsidRDefault="006804E5" w:rsidP="006804E5">
      <w:pPr>
        <w:numPr>
          <w:ilvl w:val="0"/>
          <w:numId w:val="10"/>
        </w:numPr>
        <w:spacing w:after="0"/>
      </w:pPr>
      <w:r>
        <w:t>Discounting at 10% pa pre-all taxes (and post-cash flow tax) discount rate.</w:t>
      </w:r>
    </w:p>
    <w:p w14:paraId="07F58349" w14:textId="77777777" w:rsidR="006804E5" w:rsidRDefault="006804E5" w:rsidP="006804E5">
      <w:pPr>
        <w:numPr>
          <w:ilvl w:val="0"/>
          <w:numId w:val="10"/>
        </w:numPr>
        <w:spacing w:after="0"/>
      </w:pPr>
      <w:r>
        <w:t>Discounting at investors’ post-income tax discount rate of 7% pa – that is, 10x(1-0.3)% pa.</w:t>
      </w:r>
    </w:p>
    <w:p w14:paraId="07F5834A" w14:textId="77777777" w:rsidR="00757DF9" w:rsidRDefault="00757DF9" w:rsidP="00757DF9">
      <w:r>
        <w:t xml:space="preserve">  </w:t>
      </w:r>
    </w:p>
    <w:p w14:paraId="07F5834B" w14:textId="77777777" w:rsidR="00990AFD" w:rsidRDefault="00990AFD" w:rsidP="00757DF9">
      <w:pPr>
        <w:spacing w:after="0"/>
      </w:pPr>
    </w:p>
    <w:sectPr w:rsidR="00990AFD">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136E0" w14:textId="77777777" w:rsidR="006E70E8" w:rsidRDefault="006E70E8" w:rsidP="00E77449">
      <w:pPr>
        <w:spacing w:after="0" w:line="240" w:lineRule="auto"/>
      </w:pPr>
      <w:r>
        <w:separator/>
      </w:r>
    </w:p>
  </w:endnote>
  <w:endnote w:type="continuationSeparator" w:id="0">
    <w:p w14:paraId="5CE7DF67" w14:textId="77777777" w:rsidR="006E70E8" w:rsidRDefault="006E70E8" w:rsidP="00E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028800"/>
      <w:docPartObj>
        <w:docPartGallery w:val="Page Numbers (Bottom of Page)"/>
        <w:docPartUnique/>
      </w:docPartObj>
    </w:sdtPr>
    <w:sdtEndPr>
      <w:rPr>
        <w:noProof/>
      </w:rPr>
    </w:sdtEndPr>
    <w:sdtContent>
      <w:p w14:paraId="07F58352" w14:textId="77777777" w:rsidR="00665289" w:rsidRDefault="00665289">
        <w:pPr>
          <w:pStyle w:val="Footer"/>
          <w:jc w:val="right"/>
        </w:pPr>
        <w:r>
          <w:fldChar w:fldCharType="begin"/>
        </w:r>
        <w:r>
          <w:instrText xml:space="preserve"> PAGE   \* MERGEFORMAT </w:instrText>
        </w:r>
        <w:r>
          <w:fldChar w:fldCharType="separate"/>
        </w:r>
        <w:r w:rsidR="00D33C97">
          <w:rPr>
            <w:noProof/>
          </w:rPr>
          <w:t>2</w:t>
        </w:r>
        <w:r>
          <w:rPr>
            <w:noProof/>
          </w:rPr>
          <w:fldChar w:fldCharType="end"/>
        </w:r>
      </w:p>
    </w:sdtContent>
  </w:sdt>
  <w:p w14:paraId="07F58353" w14:textId="77777777" w:rsidR="00665289" w:rsidRDefault="00665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786DE" w14:textId="77777777" w:rsidR="006E70E8" w:rsidRDefault="006E70E8" w:rsidP="00E77449">
      <w:pPr>
        <w:spacing w:after="0" w:line="240" w:lineRule="auto"/>
      </w:pPr>
      <w:r>
        <w:separator/>
      </w:r>
    </w:p>
  </w:footnote>
  <w:footnote w:type="continuationSeparator" w:id="0">
    <w:p w14:paraId="0C159BA3" w14:textId="77777777" w:rsidR="006E70E8" w:rsidRDefault="006E70E8" w:rsidP="00E77449">
      <w:pPr>
        <w:spacing w:after="0" w:line="240" w:lineRule="auto"/>
      </w:pPr>
      <w:r>
        <w:continuationSeparator/>
      </w:r>
    </w:p>
  </w:footnote>
  <w:footnote w:id="1">
    <w:p w14:paraId="07F58354" w14:textId="77777777" w:rsidR="00665289" w:rsidRDefault="00665289">
      <w:pPr>
        <w:pStyle w:val="FootnoteText"/>
      </w:pPr>
      <w:r>
        <w:rPr>
          <w:rStyle w:val="FootnoteReference"/>
        </w:rPr>
        <w:footnoteRef/>
      </w:r>
      <w:r>
        <w:t xml:space="preserve"> Australian Treasury, </w:t>
      </w:r>
      <w:r w:rsidRPr="00763EA6">
        <w:rPr>
          <w:i/>
        </w:rPr>
        <w:t>Australia’s future tax system</w:t>
      </w:r>
      <w:r>
        <w:t>, report to the Treasurer (K Henry, Chairman), Part Two: Detailed analysis, volume 1 of 2, Australian Government, December 2009 (Available at http://taxreview.treasury.gov.au), p 152-153.</w:t>
      </w:r>
    </w:p>
  </w:footnote>
  <w:footnote w:id="2">
    <w:p w14:paraId="07F58355" w14:textId="77777777" w:rsidR="00665289" w:rsidRDefault="00665289">
      <w:pPr>
        <w:pStyle w:val="FootnoteText"/>
      </w:pPr>
      <w:r>
        <w:rPr>
          <w:rStyle w:val="FootnoteReference"/>
        </w:rPr>
        <w:footnoteRef/>
      </w:r>
      <w:r>
        <w:t xml:space="preserve"> </w:t>
      </w:r>
      <w:r w:rsidRPr="007749C1">
        <w:t>In addition, the grossing-up effect, which must spread across both the unincorporated and incorporated sectors of a given commercial activity, will be lessened by a number of factors, such as; foreign investors using debt rather than equity or accessing credits for our company tax against their home countr</w:t>
      </w:r>
      <w:r>
        <w:t>ies’</w:t>
      </w:r>
      <w:r w:rsidRPr="007749C1">
        <w:t xml:space="preserve"> tax bill.</w:t>
      </w:r>
    </w:p>
  </w:footnote>
  <w:footnote w:id="3">
    <w:p w14:paraId="07F58356" w14:textId="77777777" w:rsidR="00665289" w:rsidRDefault="00665289">
      <w:pPr>
        <w:pStyle w:val="FootnoteText"/>
      </w:pPr>
      <w:r>
        <w:rPr>
          <w:rStyle w:val="FootnoteReference"/>
        </w:rPr>
        <w:footnoteRef/>
      </w:r>
      <w:r>
        <w:t xml:space="preserve"> Swan P, “Income taxes, profit taxes and neutrality of optimizing decisions”, (1976) 52, </w:t>
      </w:r>
      <w:r w:rsidRPr="007E35FE">
        <w:rPr>
          <w:i/>
        </w:rPr>
        <w:t>Economic Record</w:t>
      </w:r>
      <w:r>
        <w:t>, June, p 172.</w:t>
      </w:r>
    </w:p>
  </w:footnote>
  <w:footnote w:id="4">
    <w:p w14:paraId="07F58357" w14:textId="77777777" w:rsidR="00665289" w:rsidRDefault="00665289">
      <w:pPr>
        <w:pStyle w:val="FootnoteText"/>
      </w:pPr>
      <w:r>
        <w:rPr>
          <w:rStyle w:val="FootnoteReference"/>
        </w:rPr>
        <w:footnoteRef/>
      </w:r>
      <w:r>
        <w:t xml:space="preserve"> Swan, above, p 172. </w:t>
      </w:r>
    </w:p>
  </w:footnote>
  <w:footnote w:id="5">
    <w:p w14:paraId="07F58358" w14:textId="77777777" w:rsidR="00665289" w:rsidRDefault="00665289">
      <w:pPr>
        <w:pStyle w:val="FootnoteText"/>
      </w:pPr>
      <w:r>
        <w:rPr>
          <w:rStyle w:val="FootnoteReference"/>
        </w:rPr>
        <w:footnoteRef/>
      </w:r>
      <w:r>
        <w:t xml:space="preserve"> Samuelson P, “Tax deductibility of economic depreciation to insure invariant valuations”, (1964) 72 </w:t>
      </w:r>
      <w:r w:rsidRPr="007E35FE">
        <w:rPr>
          <w:i/>
        </w:rPr>
        <w:t>Journal of Political Economy</w:t>
      </w:r>
      <w:r>
        <w:t>, December, 604</w:t>
      </w:r>
      <w:r>
        <w:noBreakHyphen/>
        <w:t>606.</w:t>
      </w:r>
    </w:p>
  </w:footnote>
  <w:footnote w:id="6">
    <w:p w14:paraId="07F58359" w14:textId="77777777" w:rsidR="00665289" w:rsidRDefault="00665289">
      <w:pPr>
        <w:pStyle w:val="FootnoteText"/>
      </w:pPr>
      <w:r>
        <w:rPr>
          <w:rStyle w:val="FootnoteReference"/>
        </w:rPr>
        <w:footnoteRef/>
      </w:r>
      <w:r>
        <w:t xml:space="preserve"> Swan, above n 3, p 173, goes beyond the partial equilibrium nature of the neutrality chart to discuss briefly some general equilibrium effects of taxing investment income.  </w:t>
      </w:r>
    </w:p>
  </w:footnote>
  <w:footnote w:id="7">
    <w:p w14:paraId="07F5835A" w14:textId="77777777" w:rsidR="00665289" w:rsidRDefault="00665289">
      <w:pPr>
        <w:pStyle w:val="FootnoteText"/>
      </w:pPr>
      <w:r>
        <w:rPr>
          <w:rStyle w:val="FootnoteReference"/>
        </w:rPr>
        <w:footnoteRef/>
      </w:r>
      <w:r>
        <w:t xml:space="preserve"> See Mayo W, </w:t>
      </w:r>
      <w:r w:rsidRPr="00F1446C">
        <w:rPr>
          <w:i/>
        </w:rPr>
        <w:t>Taxing investment income: without affecting worldwide investment decisions</w:t>
      </w:r>
      <w:r>
        <w:t xml:space="preserve">, Kyscope Publishing, 2011, Chapter 4, and Mayo W, </w:t>
      </w:r>
      <w:r w:rsidRPr="009C11AC">
        <w:rPr>
          <w:i/>
        </w:rPr>
        <w:t>Brad – Tax Policy Advisor Extraordinaire: reforming the taxation of investment income</w:t>
      </w:r>
      <w:r>
        <w:t xml:space="preserve">, Kyscope Publishing, 2025, Chapters 4 and 5. (Both available at: www.kyscope.com.au.)  </w:t>
      </w:r>
    </w:p>
  </w:footnote>
  <w:footnote w:id="8">
    <w:p w14:paraId="07F5835B" w14:textId="77777777" w:rsidR="00665289" w:rsidRDefault="00665289">
      <w:pPr>
        <w:pStyle w:val="FootnoteText"/>
      </w:pPr>
      <w:r>
        <w:rPr>
          <w:rStyle w:val="FootnoteReference"/>
        </w:rPr>
        <w:footnoteRef/>
      </w:r>
      <w:r>
        <w:t xml:space="preserve"> </w:t>
      </w:r>
      <w:r w:rsidRPr="000837F0">
        <w:t xml:space="preserve">Mayo W, </w:t>
      </w:r>
      <w:r>
        <w:t>“</w:t>
      </w:r>
      <w:r w:rsidRPr="000837F0">
        <w:t xml:space="preserve">(Tax) Depreciation and Inflation: Some Practical Observations", </w:t>
      </w:r>
      <w:r w:rsidRPr="003244E5">
        <w:rPr>
          <w:i/>
        </w:rPr>
        <w:t>Economic Papers</w:t>
      </w:r>
      <w:r w:rsidRPr="000837F0">
        <w:t xml:space="preserve">, </w:t>
      </w:r>
      <w:r>
        <w:t xml:space="preserve">1984, </w:t>
      </w:r>
      <w:r w:rsidRPr="000837F0">
        <w:t>3 (4) December</w:t>
      </w:r>
      <w:r>
        <w:t xml:space="preserve">, p </w:t>
      </w:r>
      <w:r w:rsidRPr="000837F0">
        <w:t>3</w:t>
      </w:r>
      <w:r>
        <w:t>6 (Table 1)</w:t>
      </w:r>
      <w:r w:rsidRPr="000837F0">
        <w:t>.</w:t>
      </w:r>
      <w:r>
        <w:t xml:space="preserve"> Available at www.kyscope.com.au.</w:t>
      </w:r>
    </w:p>
  </w:footnote>
  <w:footnote w:id="9">
    <w:p w14:paraId="07F5835C" w14:textId="77777777" w:rsidR="00665289" w:rsidRDefault="00665289">
      <w:pPr>
        <w:pStyle w:val="FootnoteText"/>
      </w:pPr>
      <w:r>
        <w:rPr>
          <w:rStyle w:val="FootnoteReference"/>
        </w:rPr>
        <w:footnoteRef/>
      </w:r>
      <w:r>
        <w:t xml:space="preserve"> </w:t>
      </w:r>
      <w:r w:rsidRPr="007E35FE">
        <w:t xml:space="preserve">Australian Government, Reform of the Australian Tax System, </w:t>
      </w:r>
      <w:r w:rsidRPr="003244E5">
        <w:rPr>
          <w:i/>
        </w:rPr>
        <w:t>Draft White Paper</w:t>
      </w:r>
      <w:r w:rsidRPr="007E35FE">
        <w:t>, AGPS, Canberra</w:t>
      </w:r>
      <w:r>
        <w:t xml:space="preserve">, </w:t>
      </w:r>
      <w:r w:rsidRPr="007E35FE">
        <w:t>1985</w:t>
      </w:r>
      <w:r>
        <w:t>, Chapter 19.</w:t>
      </w:r>
    </w:p>
  </w:footnote>
  <w:footnote w:id="10">
    <w:p w14:paraId="07F5835D" w14:textId="77777777" w:rsidR="00665289" w:rsidRDefault="00665289">
      <w:pPr>
        <w:pStyle w:val="FootnoteText"/>
      </w:pPr>
      <w:r>
        <w:rPr>
          <w:rStyle w:val="FootnoteReference"/>
        </w:rPr>
        <w:footnoteRef/>
      </w:r>
      <w:r>
        <w:t xml:space="preserve"> </w:t>
      </w:r>
      <w:r w:rsidRPr="009E423E">
        <w:t xml:space="preserve">Review of Business Taxation, </w:t>
      </w:r>
      <w:r w:rsidRPr="00763EA6">
        <w:rPr>
          <w:i/>
        </w:rPr>
        <w:t>A Platform for Consultation</w:t>
      </w:r>
      <w:r w:rsidRPr="009E423E">
        <w:t xml:space="preserve">, </w:t>
      </w:r>
      <w:r>
        <w:t>“</w:t>
      </w:r>
      <w:r w:rsidRPr="009E423E">
        <w:t xml:space="preserve">Building on a strong foundation, The taxation of </w:t>
      </w:r>
      <w:r>
        <w:t>investments”</w:t>
      </w:r>
      <w:r w:rsidRPr="009E423E">
        <w:t xml:space="preserve">, Discussion Paper 2, Volume I, </w:t>
      </w:r>
      <w:r>
        <w:t xml:space="preserve">AGPS, Canberra, February 1999, </w:t>
      </w:r>
      <w:r w:rsidRPr="009E423E">
        <w:t>Chapter</w:t>
      </w:r>
      <w:r>
        <w:t xml:space="preserve"> 1, p 81. Available at:</w:t>
      </w:r>
      <w:r w:rsidRPr="009E423E">
        <w:t xml:space="preserve"> https://webarchive.nla.gov.au/awa/20180316084138/http://rbt.treasury.gov.au/ (via ‘Publications’ link)</w:t>
      </w:r>
      <w:r>
        <w:t>.</w:t>
      </w:r>
    </w:p>
  </w:footnote>
  <w:footnote w:id="11">
    <w:p w14:paraId="07F5835E" w14:textId="77777777" w:rsidR="00665289" w:rsidRDefault="00665289">
      <w:pPr>
        <w:pStyle w:val="FootnoteText"/>
      </w:pPr>
      <w:r>
        <w:rPr>
          <w:rStyle w:val="FootnoteReference"/>
        </w:rPr>
        <w:footnoteRef/>
      </w:r>
      <w:r>
        <w:t xml:space="preserve"> </w:t>
      </w:r>
      <w:r w:rsidRPr="003244E5">
        <w:t xml:space="preserve">Review of Business Taxation, </w:t>
      </w:r>
      <w:r w:rsidRPr="00763EA6">
        <w:rPr>
          <w:i/>
        </w:rPr>
        <w:t>A Tax System Redefined</w:t>
      </w:r>
      <w:r w:rsidRPr="003244E5">
        <w:t>, “Overview, recommendations, estimated impacts” (J Ralph, Chairman), AGPS, Canberra</w:t>
      </w:r>
      <w:r>
        <w:t xml:space="preserve">, </w:t>
      </w:r>
      <w:r w:rsidRPr="003244E5">
        <w:t xml:space="preserve">July, 1999, Sections </w:t>
      </w:r>
      <w:r>
        <w:t>8. Available at:</w:t>
      </w:r>
      <w:r w:rsidRPr="003244E5">
        <w:t xml:space="preserve">  https://webarchive.nla.gov.au/awa/20180316084138/http://rbt.treasury.gov.au/ (via 'Publications' link).</w:t>
      </w:r>
    </w:p>
  </w:footnote>
  <w:footnote w:id="12">
    <w:p w14:paraId="07F5835F" w14:textId="77777777" w:rsidR="00665289" w:rsidRDefault="00665289">
      <w:pPr>
        <w:pStyle w:val="FootnoteText"/>
      </w:pPr>
      <w:r>
        <w:rPr>
          <w:rStyle w:val="FootnoteReference"/>
        </w:rPr>
        <w:footnoteRef/>
      </w:r>
      <w:r>
        <w:t xml:space="preserve"> In the early 1980s across-the-board accelerated 10/5/3 depreciation was allowed, as well as a 20% investment allowance. Distorted investment decision-making resulted relating to, for example: repairs versus asset replacement; short-lived versus long-lived assets; and, leasing versus borrowing to buy (the Eraring power station being sold and leased back is an illustration of the effects). Lost productivity resulted.</w:t>
      </w:r>
    </w:p>
  </w:footnote>
  <w:footnote w:id="13">
    <w:p w14:paraId="07F58360" w14:textId="77777777" w:rsidR="00665289" w:rsidRDefault="00665289">
      <w:pPr>
        <w:pStyle w:val="FootnoteText"/>
      </w:pPr>
      <w:r>
        <w:rPr>
          <w:rStyle w:val="FootnoteReference"/>
        </w:rPr>
        <w:footnoteRef/>
      </w:r>
      <w:r>
        <w:t xml:space="preserve"> This is often termed a ‘Brown’ tax, after Brown, E. C, “Business Income Taxation and Investment Incentives” in </w:t>
      </w:r>
      <w:r w:rsidRPr="00E3639A">
        <w:rPr>
          <w:i/>
        </w:rPr>
        <w:t>Income, Employment and Public Policy, Essays in Honor of Alvin H. Hanson</w:t>
      </w:r>
      <w:r>
        <w:t xml:space="preserve">, Norton, New York, 1948. The interim report calls this tax a “two-sided net cashflow tax”. </w:t>
      </w:r>
    </w:p>
  </w:footnote>
  <w:footnote w:id="14">
    <w:p w14:paraId="07F58361" w14:textId="77777777" w:rsidR="00665289" w:rsidRDefault="00665289">
      <w:pPr>
        <w:pStyle w:val="FootnoteText"/>
      </w:pPr>
      <w:r>
        <w:rPr>
          <w:rStyle w:val="FootnoteReference"/>
        </w:rPr>
        <w:footnoteRef/>
      </w:r>
      <w:r>
        <w:t xml:space="preserve"> Mayo W, </w:t>
      </w:r>
      <w:r w:rsidRPr="004911E1">
        <w:rPr>
          <w:i/>
        </w:rPr>
        <w:t>Taxing resource rent: concepts, misconceptions and practical design</w:t>
      </w:r>
      <w:r>
        <w:t>, Kyscope Publishing, 2013, pp 55-60. Available at www.kyscope.com.au.</w:t>
      </w:r>
    </w:p>
  </w:footnote>
  <w:footnote w:id="15">
    <w:p w14:paraId="07F58362" w14:textId="77777777" w:rsidR="00665289" w:rsidRDefault="00665289">
      <w:pPr>
        <w:pStyle w:val="FootnoteText"/>
      </w:pPr>
      <w:r>
        <w:rPr>
          <w:rStyle w:val="FootnoteReference"/>
        </w:rPr>
        <w:footnoteRef/>
      </w:r>
      <w:r>
        <w:t xml:space="preserve"> See Swan, above n 3, p 176, and Mayo (2013) above, pp 37-39.</w:t>
      </w:r>
    </w:p>
  </w:footnote>
  <w:footnote w:id="16">
    <w:p w14:paraId="07F58363" w14:textId="77777777" w:rsidR="00665289" w:rsidRDefault="00665289">
      <w:pPr>
        <w:pStyle w:val="FootnoteText"/>
      </w:pPr>
      <w:r>
        <w:rPr>
          <w:rStyle w:val="FootnoteReference"/>
        </w:rPr>
        <w:footnoteRef/>
      </w:r>
      <w:r>
        <w:t xml:space="preserve"> See Mayo (2013) above, pp 169-176.</w:t>
      </w:r>
    </w:p>
  </w:footnote>
  <w:footnote w:id="17">
    <w:p w14:paraId="07F58364" w14:textId="77777777" w:rsidR="00665289" w:rsidRDefault="00665289">
      <w:pPr>
        <w:pStyle w:val="FootnoteText"/>
      </w:pPr>
      <w:r>
        <w:rPr>
          <w:rStyle w:val="FootnoteReference"/>
        </w:rPr>
        <w:footnoteRef/>
      </w:r>
      <w:r>
        <w:t xml:space="preserve"> See Mayo (2013) above, pp 177-185. Table 20, p 185, shows zero NPV of a hypothetical mining project maintained through both cash flow taxation and income taxation – and 10% pa return maintained through cash flow taxation and cut to 7% pa by the investor’s 30% income tax rate.  </w:t>
      </w:r>
    </w:p>
  </w:footnote>
  <w:footnote w:id="18">
    <w:p w14:paraId="07F58365" w14:textId="77777777" w:rsidR="00665289" w:rsidRDefault="00665289">
      <w:pPr>
        <w:pStyle w:val="FootnoteText"/>
      </w:pPr>
      <w:r>
        <w:rPr>
          <w:rStyle w:val="FootnoteReference"/>
        </w:rPr>
        <w:footnoteRef/>
      </w:r>
      <w:r>
        <w:t xml:space="preserve"> The commission’s final report would benefit from an explanation as to how the NCT would blend with the GST with its immediate refunds for excess purchases (which do not include wages) over receipts.</w:t>
      </w:r>
    </w:p>
  </w:footnote>
  <w:footnote w:id="19">
    <w:p w14:paraId="07F58366" w14:textId="77777777" w:rsidR="00665289" w:rsidRDefault="00665289">
      <w:pPr>
        <w:pStyle w:val="FootnoteText"/>
      </w:pPr>
      <w:r>
        <w:rPr>
          <w:rStyle w:val="FootnoteReference"/>
        </w:rPr>
        <w:footnoteRef/>
      </w:r>
      <w:r>
        <w:t xml:space="preserve"> Mayo (2013) above, Table 19 (p 182) and Figure 16 (p 183).</w:t>
      </w:r>
    </w:p>
  </w:footnote>
  <w:footnote w:id="20">
    <w:p w14:paraId="07F58367" w14:textId="77777777" w:rsidR="00665289" w:rsidRDefault="00665289">
      <w:pPr>
        <w:pStyle w:val="FootnoteText"/>
      </w:pPr>
      <w:r>
        <w:rPr>
          <w:rStyle w:val="FootnoteReference"/>
        </w:rPr>
        <w:footnoteRef/>
      </w:r>
      <w:r>
        <w:t xml:space="preserve"> In Mayo(2013) above, Table 20 (p 185) shows how a marginal investment before tax pays 40% less income tax year by year when a 40% CFT (providing no net tax revenue in discounted terms) and a pure income tax are combined relative to the situation in Table 18 (p 175) where no CFT applies.</w:t>
      </w:r>
    </w:p>
  </w:footnote>
  <w:footnote w:id="21">
    <w:p w14:paraId="07F58368" w14:textId="77777777" w:rsidR="00665289" w:rsidRDefault="00665289">
      <w:pPr>
        <w:pStyle w:val="FootnoteText"/>
      </w:pPr>
      <w:r>
        <w:rPr>
          <w:rStyle w:val="FootnoteReference"/>
        </w:rPr>
        <w:footnoteRef/>
      </w:r>
      <w:r>
        <w:t xml:space="preserve"> See Table 26, p 207, in Mayo (2013), above n 14.</w:t>
      </w:r>
    </w:p>
  </w:footnote>
  <w:footnote w:id="22">
    <w:p w14:paraId="07F58369" w14:textId="77777777" w:rsidR="00665289" w:rsidRDefault="00665289">
      <w:pPr>
        <w:pStyle w:val="FootnoteText"/>
      </w:pPr>
      <w:r>
        <w:rPr>
          <w:rStyle w:val="FootnoteReference"/>
        </w:rPr>
        <w:footnoteRef/>
      </w:r>
      <w:r>
        <w:t xml:space="preserve"> Mayo, above, n 14, pp 186-191. Table 21 (p 187) illustrates tax-neutral design with income tax applied to the risky asset and risk-free asset. Table 22 (p 190) compares tax revenue flows when loss offset applies either immediately or with delay.</w:t>
      </w:r>
    </w:p>
  </w:footnote>
  <w:footnote w:id="23">
    <w:p w14:paraId="07F5836A" w14:textId="77777777" w:rsidR="00665289" w:rsidRDefault="00665289">
      <w:pPr>
        <w:pStyle w:val="FootnoteText"/>
      </w:pPr>
      <w:r>
        <w:rPr>
          <w:rStyle w:val="FootnoteReference"/>
        </w:rPr>
        <w:footnoteRef/>
      </w:r>
      <w:r>
        <w:t xml:space="preserve"> Mayo, above n 14, p 189.</w:t>
      </w:r>
    </w:p>
  </w:footnote>
  <w:footnote w:id="24">
    <w:p w14:paraId="07F5836B" w14:textId="77777777" w:rsidR="00665289" w:rsidRDefault="00665289" w:rsidP="00FD7B2D">
      <w:pPr>
        <w:pStyle w:val="FootnoteText"/>
      </w:pPr>
      <w:r>
        <w:rPr>
          <w:rStyle w:val="FootnoteReference"/>
        </w:rPr>
        <w:footnoteRef/>
      </w:r>
      <w:r>
        <w:t xml:space="preserve"> Australian Treasury, above n 1, recommendation 45.</w:t>
      </w:r>
    </w:p>
  </w:footnote>
  <w:footnote w:id="25">
    <w:p w14:paraId="07F5836C" w14:textId="77777777" w:rsidR="00665289" w:rsidRDefault="00665289" w:rsidP="00FD7B2D">
      <w:pPr>
        <w:pStyle w:val="FootnoteText"/>
      </w:pPr>
      <w:r>
        <w:rPr>
          <w:rStyle w:val="FootnoteReference"/>
        </w:rPr>
        <w:footnoteRef/>
      </w:r>
      <w:r>
        <w:t xml:space="preserve"> Australian Government, Australian Treasury, </w:t>
      </w:r>
      <w:r w:rsidRPr="0021303C">
        <w:rPr>
          <w:i/>
        </w:rPr>
        <w:t>The resource super profits tax: a fair return to the nation</w:t>
      </w:r>
      <w:r>
        <w:t>, 2010. Available at: https://catalogue.nla.gov.au/Record/4942197.</w:t>
      </w:r>
    </w:p>
  </w:footnote>
  <w:footnote w:id="26">
    <w:p w14:paraId="07F5836D" w14:textId="77777777" w:rsidR="00665289" w:rsidRDefault="00665289">
      <w:pPr>
        <w:pStyle w:val="FootnoteText"/>
      </w:pPr>
      <w:r>
        <w:rPr>
          <w:rStyle w:val="FootnoteReference"/>
        </w:rPr>
        <w:footnoteRef/>
      </w:r>
      <w:r>
        <w:t xml:space="preserve"> The interim report’s nomenclature might have the RSPT classed as a “one-sided cashflow tax”, as with its NCT, but that would hide the RSP’s key feature of full loss offset.</w:t>
      </w:r>
    </w:p>
  </w:footnote>
  <w:footnote w:id="27">
    <w:p w14:paraId="07F5836E" w14:textId="77777777" w:rsidR="00665289" w:rsidRPr="008E582D" w:rsidRDefault="00665289">
      <w:pPr>
        <w:pStyle w:val="FootnoteText"/>
        <w:rPr>
          <w:lang w:val="en-US"/>
        </w:rPr>
      </w:pPr>
      <w:r>
        <w:rPr>
          <w:rStyle w:val="FootnoteReference"/>
        </w:rPr>
        <w:footnoteRef/>
      </w:r>
      <w:r>
        <w:t xml:space="preserve"> The separation of risky project and risk-free assets that was still required to demonstrate how project viability needed to be determined was only started to be communicated belatedly with the RSPT. </w:t>
      </w:r>
    </w:p>
  </w:footnote>
  <w:footnote w:id="28">
    <w:p w14:paraId="07F5836F" w14:textId="77777777" w:rsidR="00665289" w:rsidRDefault="00665289">
      <w:pPr>
        <w:pStyle w:val="FootnoteText"/>
      </w:pPr>
      <w:r>
        <w:rPr>
          <w:rStyle w:val="FootnoteReference"/>
        </w:rPr>
        <w:footnoteRef/>
      </w:r>
      <w:r>
        <w:t xml:space="preserve"> The interim report notes the “distortionary” treatment of income tax losses. A particular difficulty there is that those losses are often not commercial (or economic) losses because, for example, accrued capital gains (the mirror image of depreciation) are often not included in annual taxable income.  </w:t>
      </w:r>
    </w:p>
  </w:footnote>
  <w:footnote w:id="29">
    <w:p w14:paraId="07F58370" w14:textId="77777777" w:rsidR="00665289" w:rsidRDefault="00665289">
      <w:pPr>
        <w:pStyle w:val="FootnoteText"/>
      </w:pPr>
      <w:r>
        <w:rPr>
          <w:rStyle w:val="FootnoteReference"/>
        </w:rPr>
        <w:footnoteRef/>
      </w:r>
      <w:r>
        <w:t xml:space="preserve"> An inflationary ‘slice’ was initially excluded from realised CGT gains even though, providing inflation adjustments to only one asset class in our nominal income tax system and not assessing accruing CGT gains prior to realisation provides a doubling up of concessional treatment. Subsequently, the inflationary slice from realised gains was removed for companies and, for other taxpayers, replaced by exclusion of 50% of realised gains and losses.</w:t>
      </w:r>
    </w:p>
  </w:footnote>
  <w:footnote w:id="30">
    <w:p w14:paraId="07F58371" w14:textId="77777777" w:rsidR="00665289" w:rsidRDefault="00665289">
      <w:pPr>
        <w:pStyle w:val="FootnoteText"/>
      </w:pPr>
      <w:r>
        <w:rPr>
          <w:rStyle w:val="FootnoteReference"/>
        </w:rPr>
        <w:footnoteRef/>
      </w:r>
      <w:r>
        <w:t xml:space="preserve"> The interim report says, as does the Henry review (above n 1, pp 178-179, for example), that our imputation system “treats debt preferentially over equity financing” (p 23) because interest payments attract tax deductions. Interest payments on a company’s bonds paid out of the company’s profits are deductible to the company. But, those payments are taxed in the hands of the bondholders. And, with full imputation, dividends paid out of local profits are taxed in the hands of shareholders receiving them. Issues relating to interest withholding tax on foreigners’ debt aside (unrelated to imputation), there is one layer of tax on returns to both equity and debt funding. In fact, under imputation, delayed tax on retained company income may provide a bias towards local equity funding. The interim report (p 68), as does Swan (above n 3, p 176), explains how allowing deduction for corporate equity would turn company income tax into a cash flow tax.     </w:t>
      </w:r>
    </w:p>
  </w:footnote>
  <w:footnote w:id="31">
    <w:p w14:paraId="07F58372" w14:textId="77777777" w:rsidR="00665289" w:rsidRDefault="00665289">
      <w:pPr>
        <w:pStyle w:val="FootnoteText"/>
      </w:pPr>
      <w:r>
        <w:rPr>
          <w:rStyle w:val="FootnoteReference"/>
        </w:rPr>
        <w:footnoteRef/>
      </w:r>
      <w:r>
        <w:t xml:space="preserve"> Traditional nomenclature, drawn from local literature (including reports of the Industries Assistance Commission, the Productivity Commission’s precursor) might call the NCT a ‘Corporate Rent Tax’, or CRT.  </w:t>
      </w:r>
    </w:p>
  </w:footnote>
  <w:footnote w:id="32">
    <w:p w14:paraId="07F58373" w14:textId="77777777" w:rsidR="00665289" w:rsidRDefault="00665289" w:rsidP="00AE5A0E">
      <w:pPr>
        <w:pStyle w:val="FootnoteText"/>
      </w:pPr>
      <w:r>
        <w:rPr>
          <w:rStyle w:val="FootnoteReference"/>
        </w:rPr>
        <w:footnoteRef/>
      </w:r>
      <w:r>
        <w:t xml:space="preserve"> Mayo W, “Combining resource rent and income taxation for neutral impact”, </w:t>
      </w:r>
      <w:r w:rsidRPr="00AD225B">
        <w:rPr>
          <w:i/>
        </w:rPr>
        <w:t>Australian Tax Forum</w:t>
      </w:r>
      <w:r>
        <w:t xml:space="preserve"> 34 (3)   pp 585-627, 2019 (available at www.kyscope.com.au) discusses how, under design that combines income tax and an ‘impure’ CFT (rent tax) with carried-forward losses, the uplift rate could be set at after-tax LTBR in circumstances when, at the time of investment decision-making, it is likely that the value of carried-forward rent tax losses would be recouped fully.  </w:t>
      </w:r>
    </w:p>
  </w:footnote>
  <w:footnote w:id="33">
    <w:p w14:paraId="07F58374" w14:textId="77777777" w:rsidR="00665289" w:rsidRDefault="00665289">
      <w:pPr>
        <w:pStyle w:val="FootnoteText"/>
      </w:pPr>
      <w:r>
        <w:rPr>
          <w:rStyle w:val="FootnoteReference"/>
        </w:rPr>
        <w:footnoteRef/>
      </w:r>
      <w:r>
        <w:t xml:space="preserve"> See also Swan, above n 3, p 176 and Mayo (2013), above n 14, p 37-42. </w:t>
      </w:r>
    </w:p>
  </w:footnote>
  <w:footnote w:id="34">
    <w:p w14:paraId="07F58375" w14:textId="77777777" w:rsidR="00665289" w:rsidRDefault="00665289" w:rsidP="00923D95">
      <w:pPr>
        <w:pStyle w:val="FootnoteText"/>
      </w:pPr>
      <w:r>
        <w:rPr>
          <w:rStyle w:val="FootnoteReference"/>
        </w:rPr>
        <w:footnoteRef/>
      </w:r>
      <w:r>
        <w:t xml:space="preserve"> The alternative suggestion of offset against NCT “liabilities”, rather than NCT profits, does not seem consistent with any type of CFT design.</w:t>
      </w:r>
    </w:p>
  </w:footnote>
  <w:footnote w:id="35">
    <w:p w14:paraId="07F58376" w14:textId="77777777" w:rsidR="00665289" w:rsidRDefault="00665289">
      <w:pPr>
        <w:pStyle w:val="FootnoteText"/>
      </w:pPr>
      <w:r>
        <w:rPr>
          <w:rStyle w:val="FootnoteReference"/>
        </w:rPr>
        <w:footnoteRef/>
      </w:r>
      <w:r>
        <w:t xml:space="preserve"> See Table 2 in Mayo (2011), above n 7, p 36 (where 47% income tax rate is used). </w:t>
      </w:r>
    </w:p>
  </w:footnote>
  <w:footnote w:id="36">
    <w:p w14:paraId="07F58377" w14:textId="77777777" w:rsidR="00665289" w:rsidRDefault="00665289" w:rsidP="00152380">
      <w:pPr>
        <w:pStyle w:val="FootnoteText"/>
      </w:pPr>
      <w:r>
        <w:rPr>
          <w:rStyle w:val="FootnoteReference"/>
        </w:rPr>
        <w:footnoteRef/>
      </w:r>
      <w:r>
        <w:t xml:space="preserve"> Mayo (2013), above n 14, p 185.</w:t>
      </w:r>
    </w:p>
  </w:footnote>
  <w:footnote w:id="37">
    <w:p w14:paraId="07F58378" w14:textId="77777777" w:rsidR="00665289" w:rsidRDefault="00665289" w:rsidP="00BA743E">
      <w:pPr>
        <w:pStyle w:val="FootnoteText"/>
      </w:pPr>
      <w:r>
        <w:rPr>
          <w:rStyle w:val="FootnoteReference"/>
        </w:rPr>
        <w:footnoteRef/>
      </w:r>
      <w:r>
        <w:t xml:space="preserve"> The Henry review, above n 1, pp 194-195, discusses related integrity benefits of imputation including how it encourages local companies to bring foreign profit-making home and discourages them from shifting local profits offshore.</w:t>
      </w:r>
    </w:p>
  </w:footnote>
  <w:footnote w:id="38">
    <w:p w14:paraId="07F58379" w14:textId="77777777" w:rsidR="00665289" w:rsidRDefault="00665289">
      <w:pPr>
        <w:pStyle w:val="FootnoteText"/>
      </w:pPr>
      <w:r>
        <w:rPr>
          <w:rStyle w:val="FootnoteReference"/>
        </w:rPr>
        <w:footnoteRef/>
      </w:r>
      <w:r>
        <w:t xml:space="preserve"> See, for example, Mayo (2025), above n 7, Ch3, p 8.</w:t>
      </w:r>
    </w:p>
  </w:footnote>
  <w:footnote w:id="39">
    <w:p w14:paraId="07F5837A" w14:textId="77777777" w:rsidR="00665289" w:rsidRDefault="00665289">
      <w:pPr>
        <w:pStyle w:val="FootnoteText"/>
      </w:pPr>
      <w:r>
        <w:rPr>
          <w:rStyle w:val="FootnoteReference"/>
        </w:rPr>
        <w:footnoteRef/>
      </w:r>
      <w:r>
        <w:t xml:space="preserve"> Carter Commission, Royal Commission on Taxation, Queen’s Printer, Ottawa (1966) p 6.</w:t>
      </w:r>
    </w:p>
  </w:footnote>
  <w:footnote w:id="40">
    <w:p w14:paraId="07F5837B" w14:textId="77777777" w:rsidR="00665289" w:rsidRDefault="00665289">
      <w:pPr>
        <w:pStyle w:val="FootnoteText"/>
      </w:pPr>
      <w:r>
        <w:rPr>
          <w:rStyle w:val="FootnoteReference"/>
        </w:rPr>
        <w:footnoteRef/>
      </w:r>
      <w:r>
        <w:t xml:space="preserve"> Taxation Review Committee, Final report, (Asprey review) (K Asprey, Chairman), AGPS, Canberra (1975) p 228.</w:t>
      </w:r>
    </w:p>
  </w:footnote>
  <w:footnote w:id="41">
    <w:p w14:paraId="07F5837C" w14:textId="77777777" w:rsidR="00665289" w:rsidRDefault="00665289">
      <w:pPr>
        <w:pStyle w:val="FootnoteText"/>
      </w:pPr>
      <w:r>
        <w:rPr>
          <w:rStyle w:val="FootnoteReference"/>
        </w:rPr>
        <w:footnoteRef/>
      </w:r>
      <w:r>
        <w:t xml:space="preserve"> Committee of Inquiry into the Australian Financial System, Australian financial system: final report of the Committee of Inquiry into the Australian Financial System (Campbell Committee) (J Campbell, Chairman) AGPS, Canberra (1981).</w:t>
      </w:r>
    </w:p>
  </w:footnote>
  <w:footnote w:id="42">
    <w:p w14:paraId="07F5837D" w14:textId="77777777" w:rsidR="00665289" w:rsidRDefault="00665289">
      <w:pPr>
        <w:pStyle w:val="FootnoteText"/>
      </w:pPr>
      <w:r>
        <w:rPr>
          <w:rStyle w:val="FootnoteReference"/>
        </w:rPr>
        <w:footnoteRef/>
      </w:r>
      <w:r>
        <w:t xml:space="preserve"> Australian Government, above n 9, p 199.</w:t>
      </w:r>
    </w:p>
  </w:footnote>
  <w:footnote w:id="43">
    <w:p w14:paraId="07F5837E" w14:textId="77777777" w:rsidR="00665289" w:rsidRDefault="00665289">
      <w:pPr>
        <w:pStyle w:val="FootnoteText"/>
      </w:pPr>
      <w:r>
        <w:rPr>
          <w:rStyle w:val="FootnoteReference"/>
        </w:rPr>
        <w:footnoteRef/>
      </w:r>
      <w:r>
        <w:t xml:space="preserve"> Subsequently, the 1999 Ralph review (above n 11), while seeking consistent tax design across companies and trusts via imputation arrangements, retained integration design in its policy design principles.</w:t>
      </w:r>
    </w:p>
  </w:footnote>
  <w:footnote w:id="44">
    <w:p w14:paraId="07F5837F" w14:textId="77777777" w:rsidR="00665289" w:rsidRDefault="00665289">
      <w:pPr>
        <w:pStyle w:val="FootnoteText"/>
      </w:pPr>
      <w:r>
        <w:rPr>
          <w:rStyle w:val="FootnoteReference"/>
        </w:rPr>
        <w:footnoteRef/>
      </w:r>
      <w:r>
        <w:t xml:space="preserve"> </w:t>
      </w:r>
      <w:r w:rsidRPr="005A1D9F">
        <w:t>Mayo (2011), above n 7, pp 212-241 does this for the vanilla situation where companies have only local, ordinary class shareholders.</w:t>
      </w:r>
    </w:p>
  </w:footnote>
  <w:footnote w:id="45">
    <w:p w14:paraId="07F58380" w14:textId="77777777" w:rsidR="00665289" w:rsidRDefault="00665289">
      <w:pPr>
        <w:pStyle w:val="FootnoteText"/>
      </w:pPr>
      <w:r>
        <w:rPr>
          <w:rStyle w:val="FootnoteReference"/>
        </w:rPr>
        <w:footnoteRef/>
      </w:r>
      <w:r>
        <w:t xml:space="preserve"> </w:t>
      </w:r>
      <w:r w:rsidRPr="005A1D9F">
        <w:t xml:space="preserve">Mayo W, ‘Time to upgrade Australia's company tax system from imputation to integration', </w:t>
      </w:r>
      <w:r w:rsidRPr="00001A49">
        <w:rPr>
          <w:i/>
        </w:rPr>
        <w:t>Australian Tax Forum</w:t>
      </w:r>
      <w:r w:rsidRPr="005A1D9F">
        <w:t>, 33 (4), December, pp 753-803, 2018 (Available at: www.kyscope.com.au)</w:t>
      </w:r>
      <w:r>
        <w:t xml:space="preserve"> </w:t>
      </w:r>
      <w:r w:rsidRPr="005A1D9F">
        <w:t>and Mayo (2025), above n 7, Chapter 3, Chapter 6 (p 14), does this for the general situation where both non-resident shareholders and multiple classes of shares are involved.</w:t>
      </w:r>
    </w:p>
  </w:footnote>
  <w:footnote w:id="46">
    <w:p w14:paraId="07F58381" w14:textId="77777777" w:rsidR="00665289" w:rsidRDefault="00665289">
      <w:pPr>
        <w:pStyle w:val="FootnoteText"/>
      </w:pPr>
      <w:r>
        <w:rPr>
          <w:rStyle w:val="FootnoteReference"/>
        </w:rPr>
        <w:footnoteRef/>
      </w:r>
      <w:r>
        <w:t xml:space="preserve"> Mayo (2025), above n 7, Ch3, p 13, 34, Ch6, pp 13-14, Ch8, p 20.</w:t>
      </w:r>
    </w:p>
  </w:footnote>
  <w:footnote w:id="47">
    <w:p w14:paraId="07F58382" w14:textId="77777777" w:rsidR="00665289" w:rsidRDefault="00665289">
      <w:pPr>
        <w:pStyle w:val="FootnoteText"/>
      </w:pPr>
      <w:r>
        <w:rPr>
          <w:rStyle w:val="FootnoteReference"/>
        </w:rPr>
        <w:footnoteRef/>
      </w:r>
      <w:r>
        <w:t xml:space="preserve"> Mayo (2025), above n 7, Ch8, pp 20-21.</w:t>
      </w:r>
    </w:p>
  </w:footnote>
  <w:footnote w:id="48">
    <w:p w14:paraId="07F58383" w14:textId="77777777" w:rsidR="00665289" w:rsidRDefault="00665289">
      <w:pPr>
        <w:pStyle w:val="FootnoteText"/>
      </w:pPr>
      <w:r>
        <w:rPr>
          <w:rStyle w:val="FootnoteReference"/>
        </w:rPr>
        <w:footnoteRef/>
      </w:r>
      <w:r>
        <w:t xml:space="preserve"> Further uniformity between investment modes could be achieved with changes to design of discretionary trusts. Those changes would seek to align distributable income and taxable income so that those entitled to trust income were taxed on it. In the process, current enormous complexity associated with the interaction of CGT and discretionary trusts could be addressed (see Mayo (2025), above n 7, Ch6, pp 24-29).</w:t>
      </w:r>
    </w:p>
  </w:footnote>
  <w:footnote w:id="49">
    <w:p w14:paraId="07F58384" w14:textId="77777777" w:rsidR="00665289" w:rsidRDefault="00665289">
      <w:pPr>
        <w:pStyle w:val="FootnoteText"/>
      </w:pPr>
      <w:r>
        <w:rPr>
          <w:rStyle w:val="FootnoteReference"/>
        </w:rPr>
        <w:footnoteRef/>
      </w:r>
      <w:r>
        <w:t xml:space="preserve"> Like treatment of acquisition costs/receipts. See Mayo (2013) above n 14, p 42-43.</w:t>
      </w:r>
    </w:p>
  </w:footnote>
  <w:footnote w:id="50">
    <w:p w14:paraId="07F58385" w14:textId="77777777" w:rsidR="00665289" w:rsidRDefault="00665289">
      <w:pPr>
        <w:pStyle w:val="FootnoteText"/>
      </w:pPr>
      <w:r>
        <w:rPr>
          <w:rStyle w:val="FootnoteReference"/>
        </w:rPr>
        <w:footnoteRef/>
      </w:r>
      <w:r>
        <w:t xml:space="preserve"> For example, the bulk of provisions aimed at preventing access to untaxed private company profits (Division 7A) could be abolished because annual taxable income would always be taxed each year. See Mayo (2025), above n 7, Ch7, pp 18, 21, 24-26, Ch8, p 23.</w:t>
      </w:r>
    </w:p>
  </w:footnote>
  <w:footnote w:id="51">
    <w:p w14:paraId="07F58386" w14:textId="77777777" w:rsidR="00665289" w:rsidRDefault="00665289">
      <w:pPr>
        <w:pStyle w:val="FootnoteText"/>
      </w:pPr>
      <w:r>
        <w:rPr>
          <w:rStyle w:val="FootnoteReference"/>
        </w:rPr>
        <w:footnoteRef/>
      </w:r>
      <w:r>
        <w:t xml:space="preserve"> Including examples supporting proposed uplift rate(s).</w:t>
      </w:r>
    </w:p>
  </w:footnote>
  <w:footnote w:id="52">
    <w:p w14:paraId="07F58387" w14:textId="77777777" w:rsidR="00665289" w:rsidRDefault="00665289" w:rsidP="00CB771F">
      <w:pPr>
        <w:pStyle w:val="FootnoteText"/>
      </w:pPr>
      <w:r>
        <w:rPr>
          <w:rStyle w:val="FootnoteReference"/>
        </w:rPr>
        <w:footnoteRef/>
      </w:r>
      <w:r>
        <w:t xml:space="preserve"> Integrated tax design, initiated by the Ralph review (above, n 11, pp 95-97), brings together tax policy advisers, administrators and lawyers early in the tax design process.</w:t>
      </w:r>
    </w:p>
  </w:footnote>
  <w:footnote w:id="53">
    <w:p w14:paraId="07F58388" w14:textId="77777777" w:rsidR="00665289" w:rsidRDefault="00665289">
      <w:pPr>
        <w:pStyle w:val="FootnoteText"/>
      </w:pPr>
      <w:r>
        <w:rPr>
          <w:rStyle w:val="FootnoteReference"/>
        </w:rPr>
        <w:footnoteRef/>
      </w:r>
      <w:r>
        <w:t xml:space="preserve"> See Mayo (2025), above n 7, Chapter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ECC8E" w14:textId="573686CD" w:rsidR="00642532" w:rsidRDefault="006425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B949D" w14:textId="3CF2FA18" w:rsidR="00642532" w:rsidRDefault="006425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8E10B" w14:textId="686AF2A7" w:rsidR="00642532" w:rsidRDefault="00642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143B9"/>
    <w:multiLevelType w:val="hybridMultilevel"/>
    <w:tmpl w:val="B53429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CDA0FA0"/>
    <w:multiLevelType w:val="hybridMultilevel"/>
    <w:tmpl w:val="1CA42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CB43B9"/>
    <w:multiLevelType w:val="hybridMultilevel"/>
    <w:tmpl w:val="C0145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477403"/>
    <w:multiLevelType w:val="hybridMultilevel"/>
    <w:tmpl w:val="F45CF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DD5B91"/>
    <w:multiLevelType w:val="hybridMultilevel"/>
    <w:tmpl w:val="E194A36A"/>
    <w:lvl w:ilvl="0" w:tplc="567C57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81C444E"/>
    <w:multiLevelType w:val="hybridMultilevel"/>
    <w:tmpl w:val="2E642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A272891"/>
    <w:multiLevelType w:val="hybridMultilevel"/>
    <w:tmpl w:val="D4A44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52322C1"/>
    <w:multiLevelType w:val="hybridMultilevel"/>
    <w:tmpl w:val="1E2CC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DAC7B04"/>
    <w:multiLevelType w:val="hybridMultilevel"/>
    <w:tmpl w:val="E194A36A"/>
    <w:lvl w:ilvl="0" w:tplc="567C57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3FF2C5F"/>
    <w:multiLevelType w:val="hybridMultilevel"/>
    <w:tmpl w:val="E2520DE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581D1747"/>
    <w:multiLevelType w:val="hybridMultilevel"/>
    <w:tmpl w:val="7534D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B39670C"/>
    <w:multiLevelType w:val="hybridMultilevel"/>
    <w:tmpl w:val="E194A36A"/>
    <w:lvl w:ilvl="0" w:tplc="567C57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4B94D6C"/>
    <w:multiLevelType w:val="hybridMultilevel"/>
    <w:tmpl w:val="F4A4EB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62E40AA"/>
    <w:multiLevelType w:val="hybridMultilevel"/>
    <w:tmpl w:val="1AEC2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7B858F2"/>
    <w:multiLevelType w:val="hybridMultilevel"/>
    <w:tmpl w:val="27B49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AAD355C"/>
    <w:multiLevelType w:val="hybridMultilevel"/>
    <w:tmpl w:val="8D2A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AD37EC8"/>
    <w:multiLevelType w:val="hybridMultilevel"/>
    <w:tmpl w:val="2A0A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C1116F0"/>
    <w:multiLevelType w:val="hybridMultilevel"/>
    <w:tmpl w:val="E194A36A"/>
    <w:lvl w:ilvl="0" w:tplc="567C57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E1B3EBF"/>
    <w:multiLevelType w:val="hybridMultilevel"/>
    <w:tmpl w:val="E194A36A"/>
    <w:lvl w:ilvl="0" w:tplc="567C57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F6A16C3"/>
    <w:multiLevelType w:val="hybridMultilevel"/>
    <w:tmpl w:val="EF80A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71791E"/>
    <w:multiLevelType w:val="hybridMultilevel"/>
    <w:tmpl w:val="6BDC4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4F9463D"/>
    <w:multiLevelType w:val="hybridMultilevel"/>
    <w:tmpl w:val="9A727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E7942AE"/>
    <w:multiLevelType w:val="hybridMultilevel"/>
    <w:tmpl w:val="A8648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0"/>
  </w:num>
  <w:num w:numId="4">
    <w:abstractNumId w:val="1"/>
  </w:num>
  <w:num w:numId="5">
    <w:abstractNumId w:val="9"/>
  </w:num>
  <w:num w:numId="6">
    <w:abstractNumId w:val="4"/>
  </w:num>
  <w:num w:numId="7">
    <w:abstractNumId w:val="18"/>
  </w:num>
  <w:num w:numId="8">
    <w:abstractNumId w:val="8"/>
  </w:num>
  <w:num w:numId="9">
    <w:abstractNumId w:val="17"/>
  </w:num>
  <w:num w:numId="10">
    <w:abstractNumId w:val="11"/>
  </w:num>
  <w:num w:numId="11">
    <w:abstractNumId w:val="16"/>
  </w:num>
  <w:num w:numId="12">
    <w:abstractNumId w:val="22"/>
  </w:num>
  <w:num w:numId="13">
    <w:abstractNumId w:val="2"/>
  </w:num>
  <w:num w:numId="14">
    <w:abstractNumId w:val="6"/>
  </w:num>
  <w:num w:numId="15">
    <w:abstractNumId w:val="15"/>
  </w:num>
  <w:num w:numId="16">
    <w:abstractNumId w:val="21"/>
  </w:num>
  <w:num w:numId="17">
    <w:abstractNumId w:val="14"/>
  </w:num>
  <w:num w:numId="18">
    <w:abstractNumId w:val="10"/>
  </w:num>
  <w:num w:numId="19">
    <w:abstractNumId w:val="19"/>
  </w:num>
  <w:num w:numId="20">
    <w:abstractNumId w:val="5"/>
  </w:num>
  <w:num w:numId="21">
    <w:abstractNumId w:val="7"/>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BE6"/>
    <w:rsid w:val="00001A49"/>
    <w:rsid w:val="00004604"/>
    <w:rsid w:val="00005261"/>
    <w:rsid w:val="00012BE6"/>
    <w:rsid w:val="00012E6C"/>
    <w:rsid w:val="00013C6C"/>
    <w:rsid w:val="00024A27"/>
    <w:rsid w:val="000322E0"/>
    <w:rsid w:val="00032C1D"/>
    <w:rsid w:val="00034D8A"/>
    <w:rsid w:val="00041C26"/>
    <w:rsid w:val="0004660F"/>
    <w:rsid w:val="00057AAE"/>
    <w:rsid w:val="00064E95"/>
    <w:rsid w:val="0007013E"/>
    <w:rsid w:val="00071AC2"/>
    <w:rsid w:val="00071D4F"/>
    <w:rsid w:val="00072139"/>
    <w:rsid w:val="000725E6"/>
    <w:rsid w:val="000837F0"/>
    <w:rsid w:val="00084E7B"/>
    <w:rsid w:val="00085651"/>
    <w:rsid w:val="00085F6F"/>
    <w:rsid w:val="00090314"/>
    <w:rsid w:val="000926C9"/>
    <w:rsid w:val="00095E24"/>
    <w:rsid w:val="00096BAB"/>
    <w:rsid w:val="000A2F07"/>
    <w:rsid w:val="000A508D"/>
    <w:rsid w:val="000B403B"/>
    <w:rsid w:val="000B5BED"/>
    <w:rsid w:val="000C4FEC"/>
    <w:rsid w:val="000D2201"/>
    <w:rsid w:val="000D5EB6"/>
    <w:rsid w:val="000D6B3E"/>
    <w:rsid w:val="000D6F79"/>
    <w:rsid w:val="000E54D2"/>
    <w:rsid w:val="000F2C3F"/>
    <w:rsid w:val="000F3F2B"/>
    <w:rsid w:val="000F5A61"/>
    <w:rsid w:val="000F5B02"/>
    <w:rsid w:val="000F5CDE"/>
    <w:rsid w:val="000F5D83"/>
    <w:rsid w:val="000F72BC"/>
    <w:rsid w:val="000F7EE9"/>
    <w:rsid w:val="001045F2"/>
    <w:rsid w:val="00111AAD"/>
    <w:rsid w:val="00116EF4"/>
    <w:rsid w:val="001170AF"/>
    <w:rsid w:val="00117792"/>
    <w:rsid w:val="001273D4"/>
    <w:rsid w:val="0013115E"/>
    <w:rsid w:val="00131B35"/>
    <w:rsid w:val="00132A9B"/>
    <w:rsid w:val="00135A97"/>
    <w:rsid w:val="001379E0"/>
    <w:rsid w:val="0014137F"/>
    <w:rsid w:val="00141ECF"/>
    <w:rsid w:val="00143641"/>
    <w:rsid w:val="0014619E"/>
    <w:rsid w:val="00147ED1"/>
    <w:rsid w:val="001507E5"/>
    <w:rsid w:val="00152380"/>
    <w:rsid w:val="00152878"/>
    <w:rsid w:val="00154D3B"/>
    <w:rsid w:val="0016206A"/>
    <w:rsid w:val="00162CE0"/>
    <w:rsid w:val="00166303"/>
    <w:rsid w:val="00166390"/>
    <w:rsid w:val="00170D5C"/>
    <w:rsid w:val="001745C1"/>
    <w:rsid w:val="001749E5"/>
    <w:rsid w:val="0018427F"/>
    <w:rsid w:val="00186193"/>
    <w:rsid w:val="00196EE4"/>
    <w:rsid w:val="001A10D3"/>
    <w:rsid w:val="001A231B"/>
    <w:rsid w:val="001B3766"/>
    <w:rsid w:val="001B6CB1"/>
    <w:rsid w:val="001C21CF"/>
    <w:rsid w:val="001C2EA0"/>
    <w:rsid w:val="001D12EC"/>
    <w:rsid w:val="001D3779"/>
    <w:rsid w:val="001E73AA"/>
    <w:rsid w:val="001F50A9"/>
    <w:rsid w:val="00200E72"/>
    <w:rsid w:val="0020431E"/>
    <w:rsid w:val="00207D14"/>
    <w:rsid w:val="0021303C"/>
    <w:rsid w:val="00223F0C"/>
    <w:rsid w:val="0022592A"/>
    <w:rsid w:val="0022751A"/>
    <w:rsid w:val="0023058E"/>
    <w:rsid w:val="00230DDA"/>
    <w:rsid w:val="002324E4"/>
    <w:rsid w:val="00236275"/>
    <w:rsid w:val="002376C6"/>
    <w:rsid w:val="0024585A"/>
    <w:rsid w:val="0024614A"/>
    <w:rsid w:val="00254F67"/>
    <w:rsid w:val="00256545"/>
    <w:rsid w:val="00257BF1"/>
    <w:rsid w:val="00275E4B"/>
    <w:rsid w:val="00280252"/>
    <w:rsid w:val="00283E03"/>
    <w:rsid w:val="00287A55"/>
    <w:rsid w:val="00292E7F"/>
    <w:rsid w:val="002934C4"/>
    <w:rsid w:val="00293729"/>
    <w:rsid w:val="0029726D"/>
    <w:rsid w:val="002A07EC"/>
    <w:rsid w:val="002A7D95"/>
    <w:rsid w:val="002B0E71"/>
    <w:rsid w:val="002B1A06"/>
    <w:rsid w:val="002B3DEB"/>
    <w:rsid w:val="002B76D1"/>
    <w:rsid w:val="002C484F"/>
    <w:rsid w:val="002C516B"/>
    <w:rsid w:val="002C6D5C"/>
    <w:rsid w:val="002E00E8"/>
    <w:rsid w:val="002E0172"/>
    <w:rsid w:val="002E0D14"/>
    <w:rsid w:val="002E6CF8"/>
    <w:rsid w:val="002F027C"/>
    <w:rsid w:val="002F0743"/>
    <w:rsid w:val="002F07F5"/>
    <w:rsid w:val="002F4111"/>
    <w:rsid w:val="002F4BEC"/>
    <w:rsid w:val="0030166C"/>
    <w:rsid w:val="00303193"/>
    <w:rsid w:val="003125FD"/>
    <w:rsid w:val="0031574F"/>
    <w:rsid w:val="003244E5"/>
    <w:rsid w:val="00327854"/>
    <w:rsid w:val="003319DB"/>
    <w:rsid w:val="00335945"/>
    <w:rsid w:val="003429A5"/>
    <w:rsid w:val="00344BBD"/>
    <w:rsid w:val="003519AD"/>
    <w:rsid w:val="00354DB0"/>
    <w:rsid w:val="00357094"/>
    <w:rsid w:val="00361409"/>
    <w:rsid w:val="003627E7"/>
    <w:rsid w:val="00362CD6"/>
    <w:rsid w:val="0036309C"/>
    <w:rsid w:val="003761B5"/>
    <w:rsid w:val="00377D22"/>
    <w:rsid w:val="0039275A"/>
    <w:rsid w:val="003A2FFB"/>
    <w:rsid w:val="003B2687"/>
    <w:rsid w:val="003B2FD2"/>
    <w:rsid w:val="003B56FD"/>
    <w:rsid w:val="003B611E"/>
    <w:rsid w:val="003B76AE"/>
    <w:rsid w:val="003C1668"/>
    <w:rsid w:val="003C7137"/>
    <w:rsid w:val="003D0D4D"/>
    <w:rsid w:val="003D16DB"/>
    <w:rsid w:val="003D5415"/>
    <w:rsid w:val="003D7582"/>
    <w:rsid w:val="003E1640"/>
    <w:rsid w:val="003F2E2A"/>
    <w:rsid w:val="003F34FE"/>
    <w:rsid w:val="003F4F70"/>
    <w:rsid w:val="003F6F48"/>
    <w:rsid w:val="00402CFB"/>
    <w:rsid w:val="004068B8"/>
    <w:rsid w:val="00417536"/>
    <w:rsid w:val="00423AB5"/>
    <w:rsid w:val="00424939"/>
    <w:rsid w:val="00432955"/>
    <w:rsid w:val="004355E0"/>
    <w:rsid w:val="00435BDC"/>
    <w:rsid w:val="0044007F"/>
    <w:rsid w:val="004417F3"/>
    <w:rsid w:val="004509DC"/>
    <w:rsid w:val="0045307F"/>
    <w:rsid w:val="00454318"/>
    <w:rsid w:val="00457928"/>
    <w:rsid w:val="00466918"/>
    <w:rsid w:val="00467AEA"/>
    <w:rsid w:val="00472A95"/>
    <w:rsid w:val="004738AB"/>
    <w:rsid w:val="00475829"/>
    <w:rsid w:val="00475E15"/>
    <w:rsid w:val="00476699"/>
    <w:rsid w:val="00482F2D"/>
    <w:rsid w:val="004835FF"/>
    <w:rsid w:val="004911E1"/>
    <w:rsid w:val="00495028"/>
    <w:rsid w:val="00495EB6"/>
    <w:rsid w:val="004A25D5"/>
    <w:rsid w:val="004A568C"/>
    <w:rsid w:val="004B1E22"/>
    <w:rsid w:val="004C2002"/>
    <w:rsid w:val="004C6AD4"/>
    <w:rsid w:val="004E398C"/>
    <w:rsid w:val="004E3FD0"/>
    <w:rsid w:val="004F4C85"/>
    <w:rsid w:val="00500E89"/>
    <w:rsid w:val="0050663D"/>
    <w:rsid w:val="0050682A"/>
    <w:rsid w:val="00511DD6"/>
    <w:rsid w:val="00512001"/>
    <w:rsid w:val="005128AF"/>
    <w:rsid w:val="00514A10"/>
    <w:rsid w:val="00514C17"/>
    <w:rsid w:val="005158E3"/>
    <w:rsid w:val="00516A55"/>
    <w:rsid w:val="00521093"/>
    <w:rsid w:val="00522849"/>
    <w:rsid w:val="0052310C"/>
    <w:rsid w:val="0053010F"/>
    <w:rsid w:val="00531BD4"/>
    <w:rsid w:val="005332D8"/>
    <w:rsid w:val="005350C0"/>
    <w:rsid w:val="0053650D"/>
    <w:rsid w:val="0053673B"/>
    <w:rsid w:val="00540797"/>
    <w:rsid w:val="00542BF2"/>
    <w:rsid w:val="00543CB1"/>
    <w:rsid w:val="00545872"/>
    <w:rsid w:val="005511D4"/>
    <w:rsid w:val="00556918"/>
    <w:rsid w:val="00561BB7"/>
    <w:rsid w:val="005652FD"/>
    <w:rsid w:val="005725DF"/>
    <w:rsid w:val="00572FAA"/>
    <w:rsid w:val="005742FA"/>
    <w:rsid w:val="0057506E"/>
    <w:rsid w:val="00575603"/>
    <w:rsid w:val="005808CE"/>
    <w:rsid w:val="00580B0D"/>
    <w:rsid w:val="00581021"/>
    <w:rsid w:val="005813F0"/>
    <w:rsid w:val="00590B55"/>
    <w:rsid w:val="005916A3"/>
    <w:rsid w:val="00592071"/>
    <w:rsid w:val="00597876"/>
    <w:rsid w:val="00597FBC"/>
    <w:rsid w:val="005A1D9F"/>
    <w:rsid w:val="005B34E3"/>
    <w:rsid w:val="005B3C79"/>
    <w:rsid w:val="005B6680"/>
    <w:rsid w:val="005B68AB"/>
    <w:rsid w:val="005C7711"/>
    <w:rsid w:val="005D4FD3"/>
    <w:rsid w:val="005D7FEF"/>
    <w:rsid w:val="005E02C3"/>
    <w:rsid w:val="005E2150"/>
    <w:rsid w:val="005E7DE7"/>
    <w:rsid w:val="005F25F9"/>
    <w:rsid w:val="005F415A"/>
    <w:rsid w:val="005F44A4"/>
    <w:rsid w:val="005F736F"/>
    <w:rsid w:val="00603C7E"/>
    <w:rsid w:val="0060546B"/>
    <w:rsid w:val="0060585C"/>
    <w:rsid w:val="006119BA"/>
    <w:rsid w:val="006141AE"/>
    <w:rsid w:val="00615C5E"/>
    <w:rsid w:val="006163F0"/>
    <w:rsid w:val="006254A6"/>
    <w:rsid w:val="00626581"/>
    <w:rsid w:val="00626B71"/>
    <w:rsid w:val="0063058B"/>
    <w:rsid w:val="0063274D"/>
    <w:rsid w:val="00634781"/>
    <w:rsid w:val="006371A0"/>
    <w:rsid w:val="00640B00"/>
    <w:rsid w:val="006423EA"/>
    <w:rsid w:val="00642532"/>
    <w:rsid w:val="00647ADB"/>
    <w:rsid w:val="00653AF2"/>
    <w:rsid w:val="00655578"/>
    <w:rsid w:val="006571FD"/>
    <w:rsid w:val="00660CE0"/>
    <w:rsid w:val="00665289"/>
    <w:rsid w:val="0066556A"/>
    <w:rsid w:val="00670AAB"/>
    <w:rsid w:val="006717F3"/>
    <w:rsid w:val="00673F8F"/>
    <w:rsid w:val="00674DF6"/>
    <w:rsid w:val="006762FA"/>
    <w:rsid w:val="006804E5"/>
    <w:rsid w:val="006821AB"/>
    <w:rsid w:val="00686498"/>
    <w:rsid w:val="006915EC"/>
    <w:rsid w:val="006962D6"/>
    <w:rsid w:val="006A0508"/>
    <w:rsid w:val="006A19DE"/>
    <w:rsid w:val="006B7645"/>
    <w:rsid w:val="006C2374"/>
    <w:rsid w:val="006C3081"/>
    <w:rsid w:val="006C5092"/>
    <w:rsid w:val="006C6364"/>
    <w:rsid w:val="006D02FF"/>
    <w:rsid w:val="006D2293"/>
    <w:rsid w:val="006D2A6A"/>
    <w:rsid w:val="006D4337"/>
    <w:rsid w:val="006D60E5"/>
    <w:rsid w:val="006D6BB4"/>
    <w:rsid w:val="006E05A6"/>
    <w:rsid w:val="006E70E8"/>
    <w:rsid w:val="006F352B"/>
    <w:rsid w:val="00700DD8"/>
    <w:rsid w:val="00702A17"/>
    <w:rsid w:val="0070452E"/>
    <w:rsid w:val="00705337"/>
    <w:rsid w:val="00714DBF"/>
    <w:rsid w:val="00720E1B"/>
    <w:rsid w:val="0072145A"/>
    <w:rsid w:val="007214EB"/>
    <w:rsid w:val="00724A0B"/>
    <w:rsid w:val="0073097B"/>
    <w:rsid w:val="0073314D"/>
    <w:rsid w:val="00736E14"/>
    <w:rsid w:val="00740C43"/>
    <w:rsid w:val="007426E7"/>
    <w:rsid w:val="00746C99"/>
    <w:rsid w:val="00750E54"/>
    <w:rsid w:val="00750EC5"/>
    <w:rsid w:val="00756270"/>
    <w:rsid w:val="00757DF9"/>
    <w:rsid w:val="00761E38"/>
    <w:rsid w:val="0076347D"/>
    <w:rsid w:val="00763EA6"/>
    <w:rsid w:val="00764B9A"/>
    <w:rsid w:val="00767ACE"/>
    <w:rsid w:val="00770DB2"/>
    <w:rsid w:val="00771833"/>
    <w:rsid w:val="007749C1"/>
    <w:rsid w:val="00775A42"/>
    <w:rsid w:val="00776987"/>
    <w:rsid w:val="00781785"/>
    <w:rsid w:val="00782E71"/>
    <w:rsid w:val="00783971"/>
    <w:rsid w:val="00787CE1"/>
    <w:rsid w:val="00790848"/>
    <w:rsid w:val="007967CA"/>
    <w:rsid w:val="007A02F4"/>
    <w:rsid w:val="007A0FB0"/>
    <w:rsid w:val="007A5159"/>
    <w:rsid w:val="007B27CA"/>
    <w:rsid w:val="007B3000"/>
    <w:rsid w:val="007B3CF5"/>
    <w:rsid w:val="007C3B7A"/>
    <w:rsid w:val="007C785B"/>
    <w:rsid w:val="007D0DC5"/>
    <w:rsid w:val="007D1792"/>
    <w:rsid w:val="007D2BEF"/>
    <w:rsid w:val="007D4040"/>
    <w:rsid w:val="007E35FE"/>
    <w:rsid w:val="007F248C"/>
    <w:rsid w:val="007F6272"/>
    <w:rsid w:val="007F6FCA"/>
    <w:rsid w:val="008009BB"/>
    <w:rsid w:val="00801F27"/>
    <w:rsid w:val="00802307"/>
    <w:rsid w:val="00803287"/>
    <w:rsid w:val="00804207"/>
    <w:rsid w:val="008057E0"/>
    <w:rsid w:val="00817D27"/>
    <w:rsid w:val="00820498"/>
    <w:rsid w:val="00821B64"/>
    <w:rsid w:val="008220C5"/>
    <w:rsid w:val="008239AC"/>
    <w:rsid w:val="00823AD4"/>
    <w:rsid w:val="00823D31"/>
    <w:rsid w:val="00832ED2"/>
    <w:rsid w:val="0083699E"/>
    <w:rsid w:val="008529CA"/>
    <w:rsid w:val="008629D5"/>
    <w:rsid w:val="00865F52"/>
    <w:rsid w:val="00867FDD"/>
    <w:rsid w:val="00872546"/>
    <w:rsid w:val="00873544"/>
    <w:rsid w:val="008811AA"/>
    <w:rsid w:val="008866A7"/>
    <w:rsid w:val="008933D5"/>
    <w:rsid w:val="008963C9"/>
    <w:rsid w:val="00896633"/>
    <w:rsid w:val="008A2E1A"/>
    <w:rsid w:val="008A6063"/>
    <w:rsid w:val="008C0BC3"/>
    <w:rsid w:val="008C11AC"/>
    <w:rsid w:val="008C43F2"/>
    <w:rsid w:val="008D1F03"/>
    <w:rsid w:val="008D3A7F"/>
    <w:rsid w:val="008D4587"/>
    <w:rsid w:val="008E32E0"/>
    <w:rsid w:val="008E582D"/>
    <w:rsid w:val="008E5A7D"/>
    <w:rsid w:val="008F0EA0"/>
    <w:rsid w:val="008F1309"/>
    <w:rsid w:val="008F1D21"/>
    <w:rsid w:val="008F283B"/>
    <w:rsid w:val="008F2EBB"/>
    <w:rsid w:val="008F356C"/>
    <w:rsid w:val="008F5496"/>
    <w:rsid w:val="008F6EE9"/>
    <w:rsid w:val="008F7B6F"/>
    <w:rsid w:val="00905507"/>
    <w:rsid w:val="009073C0"/>
    <w:rsid w:val="00907A3E"/>
    <w:rsid w:val="00914A58"/>
    <w:rsid w:val="00917B10"/>
    <w:rsid w:val="00923D95"/>
    <w:rsid w:val="00927762"/>
    <w:rsid w:val="00932FE4"/>
    <w:rsid w:val="00936354"/>
    <w:rsid w:val="00936AC8"/>
    <w:rsid w:val="00941C4F"/>
    <w:rsid w:val="0094495A"/>
    <w:rsid w:val="00951506"/>
    <w:rsid w:val="00953374"/>
    <w:rsid w:val="00960BEB"/>
    <w:rsid w:val="00962933"/>
    <w:rsid w:val="00963133"/>
    <w:rsid w:val="00963D51"/>
    <w:rsid w:val="009756CA"/>
    <w:rsid w:val="00975EF9"/>
    <w:rsid w:val="00976C6A"/>
    <w:rsid w:val="009811BF"/>
    <w:rsid w:val="00981930"/>
    <w:rsid w:val="00985193"/>
    <w:rsid w:val="00990AFD"/>
    <w:rsid w:val="00994FF8"/>
    <w:rsid w:val="0099641F"/>
    <w:rsid w:val="009A2CD8"/>
    <w:rsid w:val="009A32B0"/>
    <w:rsid w:val="009A3CC0"/>
    <w:rsid w:val="009A6EF8"/>
    <w:rsid w:val="009B38C2"/>
    <w:rsid w:val="009B68BD"/>
    <w:rsid w:val="009C11AC"/>
    <w:rsid w:val="009C11C3"/>
    <w:rsid w:val="009C40B3"/>
    <w:rsid w:val="009C4A7A"/>
    <w:rsid w:val="009C6632"/>
    <w:rsid w:val="009D2C06"/>
    <w:rsid w:val="009D336F"/>
    <w:rsid w:val="009D6E5E"/>
    <w:rsid w:val="009D7E23"/>
    <w:rsid w:val="009E2E7D"/>
    <w:rsid w:val="009E423E"/>
    <w:rsid w:val="009F31DA"/>
    <w:rsid w:val="00A00848"/>
    <w:rsid w:val="00A0129D"/>
    <w:rsid w:val="00A125F3"/>
    <w:rsid w:val="00A15514"/>
    <w:rsid w:val="00A20A48"/>
    <w:rsid w:val="00A22870"/>
    <w:rsid w:val="00A26486"/>
    <w:rsid w:val="00A32EC8"/>
    <w:rsid w:val="00A33371"/>
    <w:rsid w:val="00A3362B"/>
    <w:rsid w:val="00A4037C"/>
    <w:rsid w:val="00A43861"/>
    <w:rsid w:val="00A458CC"/>
    <w:rsid w:val="00A468BB"/>
    <w:rsid w:val="00A47E97"/>
    <w:rsid w:val="00A5191D"/>
    <w:rsid w:val="00A548A7"/>
    <w:rsid w:val="00A5569B"/>
    <w:rsid w:val="00A62BAA"/>
    <w:rsid w:val="00A67244"/>
    <w:rsid w:val="00A74373"/>
    <w:rsid w:val="00A86083"/>
    <w:rsid w:val="00A9296B"/>
    <w:rsid w:val="00A94605"/>
    <w:rsid w:val="00AA220F"/>
    <w:rsid w:val="00AA3399"/>
    <w:rsid w:val="00AA73CE"/>
    <w:rsid w:val="00AB01E6"/>
    <w:rsid w:val="00AB0C94"/>
    <w:rsid w:val="00AB1C04"/>
    <w:rsid w:val="00AB3427"/>
    <w:rsid w:val="00AB37D5"/>
    <w:rsid w:val="00AB415B"/>
    <w:rsid w:val="00AB4F28"/>
    <w:rsid w:val="00AC0743"/>
    <w:rsid w:val="00AC3424"/>
    <w:rsid w:val="00AC3822"/>
    <w:rsid w:val="00AC7AA8"/>
    <w:rsid w:val="00AC7CA4"/>
    <w:rsid w:val="00AD225B"/>
    <w:rsid w:val="00AD35E1"/>
    <w:rsid w:val="00AD3B47"/>
    <w:rsid w:val="00AD624F"/>
    <w:rsid w:val="00AD68A8"/>
    <w:rsid w:val="00AD6F89"/>
    <w:rsid w:val="00AE2890"/>
    <w:rsid w:val="00AE5A0E"/>
    <w:rsid w:val="00AE6C93"/>
    <w:rsid w:val="00AE704D"/>
    <w:rsid w:val="00AF0421"/>
    <w:rsid w:val="00AF4CBD"/>
    <w:rsid w:val="00AF4EB5"/>
    <w:rsid w:val="00B02CF3"/>
    <w:rsid w:val="00B10A62"/>
    <w:rsid w:val="00B15408"/>
    <w:rsid w:val="00B233D8"/>
    <w:rsid w:val="00B26D96"/>
    <w:rsid w:val="00B301B9"/>
    <w:rsid w:val="00B4365B"/>
    <w:rsid w:val="00B46D2B"/>
    <w:rsid w:val="00B506A5"/>
    <w:rsid w:val="00B5195D"/>
    <w:rsid w:val="00B57001"/>
    <w:rsid w:val="00B60156"/>
    <w:rsid w:val="00B64188"/>
    <w:rsid w:val="00B7138D"/>
    <w:rsid w:val="00B738DF"/>
    <w:rsid w:val="00B866E2"/>
    <w:rsid w:val="00B90B29"/>
    <w:rsid w:val="00B90C7B"/>
    <w:rsid w:val="00B94906"/>
    <w:rsid w:val="00BA2AEE"/>
    <w:rsid w:val="00BA2CDE"/>
    <w:rsid w:val="00BA350E"/>
    <w:rsid w:val="00BA491C"/>
    <w:rsid w:val="00BA743E"/>
    <w:rsid w:val="00BB5875"/>
    <w:rsid w:val="00BB5D24"/>
    <w:rsid w:val="00BC22DD"/>
    <w:rsid w:val="00BC2BE5"/>
    <w:rsid w:val="00BC384E"/>
    <w:rsid w:val="00BC3C60"/>
    <w:rsid w:val="00BC5A70"/>
    <w:rsid w:val="00BC67D4"/>
    <w:rsid w:val="00BC6BF5"/>
    <w:rsid w:val="00BD0DE8"/>
    <w:rsid w:val="00BD2DBA"/>
    <w:rsid w:val="00BE1854"/>
    <w:rsid w:val="00BE207B"/>
    <w:rsid w:val="00BE431B"/>
    <w:rsid w:val="00BF00E2"/>
    <w:rsid w:val="00BF1A48"/>
    <w:rsid w:val="00BF6746"/>
    <w:rsid w:val="00C041F8"/>
    <w:rsid w:val="00C04995"/>
    <w:rsid w:val="00C16341"/>
    <w:rsid w:val="00C170D8"/>
    <w:rsid w:val="00C25376"/>
    <w:rsid w:val="00C27746"/>
    <w:rsid w:val="00C277E7"/>
    <w:rsid w:val="00C306F6"/>
    <w:rsid w:val="00C40637"/>
    <w:rsid w:val="00C42BA8"/>
    <w:rsid w:val="00C431BA"/>
    <w:rsid w:val="00C43A14"/>
    <w:rsid w:val="00C44764"/>
    <w:rsid w:val="00C46715"/>
    <w:rsid w:val="00C572F8"/>
    <w:rsid w:val="00C652F4"/>
    <w:rsid w:val="00C6761D"/>
    <w:rsid w:val="00C77E28"/>
    <w:rsid w:val="00C81F4B"/>
    <w:rsid w:val="00C825E0"/>
    <w:rsid w:val="00C8286A"/>
    <w:rsid w:val="00C8350D"/>
    <w:rsid w:val="00C91026"/>
    <w:rsid w:val="00C91C08"/>
    <w:rsid w:val="00C93B93"/>
    <w:rsid w:val="00C977B7"/>
    <w:rsid w:val="00CA1A22"/>
    <w:rsid w:val="00CA4D28"/>
    <w:rsid w:val="00CA6BEF"/>
    <w:rsid w:val="00CB40BC"/>
    <w:rsid w:val="00CB771F"/>
    <w:rsid w:val="00CC1A57"/>
    <w:rsid w:val="00CC5327"/>
    <w:rsid w:val="00CC7126"/>
    <w:rsid w:val="00CD025C"/>
    <w:rsid w:val="00CD7C44"/>
    <w:rsid w:val="00CE5239"/>
    <w:rsid w:val="00CF05B7"/>
    <w:rsid w:val="00CF3D93"/>
    <w:rsid w:val="00CF3D9F"/>
    <w:rsid w:val="00CF48E3"/>
    <w:rsid w:val="00CF5154"/>
    <w:rsid w:val="00CF5535"/>
    <w:rsid w:val="00D00946"/>
    <w:rsid w:val="00D02E80"/>
    <w:rsid w:val="00D0321E"/>
    <w:rsid w:val="00D0700C"/>
    <w:rsid w:val="00D2455E"/>
    <w:rsid w:val="00D24975"/>
    <w:rsid w:val="00D249CE"/>
    <w:rsid w:val="00D32177"/>
    <w:rsid w:val="00D33C97"/>
    <w:rsid w:val="00D35D58"/>
    <w:rsid w:val="00D40C12"/>
    <w:rsid w:val="00D43220"/>
    <w:rsid w:val="00D439EA"/>
    <w:rsid w:val="00D53FAB"/>
    <w:rsid w:val="00D56BC1"/>
    <w:rsid w:val="00D627A1"/>
    <w:rsid w:val="00D63B23"/>
    <w:rsid w:val="00D673F8"/>
    <w:rsid w:val="00D739CB"/>
    <w:rsid w:val="00D76ABA"/>
    <w:rsid w:val="00D77AF2"/>
    <w:rsid w:val="00D77E48"/>
    <w:rsid w:val="00D83572"/>
    <w:rsid w:val="00D838A0"/>
    <w:rsid w:val="00D864C2"/>
    <w:rsid w:val="00D86639"/>
    <w:rsid w:val="00D86B7A"/>
    <w:rsid w:val="00D95E82"/>
    <w:rsid w:val="00DA0111"/>
    <w:rsid w:val="00DA01BD"/>
    <w:rsid w:val="00DA0C60"/>
    <w:rsid w:val="00DA1E21"/>
    <w:rsid w:val="00DA356A"/>
    <w:rsid w:val="00DA4614"/>
    <w:rsid w:val="00DA7079"/>
    <w:rsid w:val="00DB17F3"/>
    <w:rsid w:val="00DB4A32"/>
    <w:rsid w:val="00DB5F84"/>
    <w:rsid w:val="00DC0513"/>
    <w:rsid w:val="00DC0EAC"/>
    <w:rsid w:val="00DC2103"/>
    <w:rsid w:val="00DC2B77"/>
    <w:rsid w:val="00DD070C"/>
    <w:rsid w:val="00DE0C49"/>
    <w:rsid w:val="00DE1DD4"/>
    <w:rsid w:val="00DE253A"/>
    <w:rsid w:val="00DE326B"/>
    <w:rsid w:val="00DE72EB"/>
    <w:rsid w:val="00DF0308"/>
    <w:rsid w:val="00DF1940"/>
    <w:rsid w:val="00DF2735"/>
    <w:rsid w:val="00DF3144"/>
    <w:rsid w:val="00DF33C5"/>
    <w:rsid w:val="00DF3581"/>
    <w:rsid w:val="00DF5F68"/>
    <w:rsid w:val="00E02F88"/>
    <w:rsid w:val="00E06408"/>
    <w:rsid w:val="00E06A46"/>
    <w:rsid w:val="00E166A4"/>
    <w:rsid w:val="00E20D1B"/>
    <w:rsid w:val="00E22039"/>
    <w:rsid w:val="00E24C16"/>
    <w:rsid w:val="00E3076A"/>
    <w:rsid w:val="00E36096"/>
    <w:rsid w:val="00E3639A"/>
    <w:rsid w:val="00E36D4C"/>
    <w:rsid w:val="00E4234C"/>
    <w:rsid w:val="00E463BD"/>
    <w:rsid w:val="00E53A5C"/>
    <w:rsid w:val="00E5403D"/>
    <w:rsid w:val="00E57AA7"/>
    <w:rsid w:val="00E6538B"/>
    <w:rsid w:val="00E65B60"/>
    <w:rsid w:val="00E660E9"/>
    <w:rsid w:val="00E77449"/>
    <w:rsid w:val="00E81B5C"/>
    <w:rsid w:val="00E85544"/>
    <w:rsid w:val="00E926A5"/>
    <w:rsid w:val="00E973BE"/>
    <w:rsid w:val="00EA16AB"/>
    <w:rsid w:val="00EA2363"/>
    <w:rsid w:val="00EA4002"/>
    <w:rsid w:val="00EB130A"/>
    <w:rsid w:val="00EB22E8"/>
    <w:rsid w:val="00EB286E"/>
    <w:rsid w:val="00EB43BF"/>
    <w:rsid w:val="00EB5E2D"/>
    <w:rsid w:val="00EB639D"/>
    <w:rsid w:val="00EB6802"/>
    <w:rsid w:val="00EC529C"/>
    <w:rsid w:val="00ED1B61"/>
    <w:rsid w:val="00ED304C"/>
    <w:rsid w:val="00EE3F41"/>
    <w:rsid w:val="00EE7655"/>
    <w:rsid w:val="00EF6545"/>
    <w:rsid w:val="00F01756"/>
    <w:rsid w:val="00F05A79"/>
    <w:rsid w:val="00F139C4"/>
    <w:rsid w:val="00F1446C"/>
    <w:rsid w:val="00F22D21"/>
    <w:rsid w:val="00F3345B"/>
    <w:rsid w:val="00F34A7C"/>
    <w:rsid w:val="00F34AD5"/>
    <w:rsid w:val="00F41A1A"/>
    <w:rsid w:val="00F45534"/>
    <w:rsid w:val="00F57416"/>
    <w:rsid w:val="00F57956"/>
    <w:rsid w:val="00F645B7"/>
    <w:rsid w:val="00F75D10"/>
    <w:rsid w:val="00F77A88"/>
    <w:rsid w:val="00F77A8E"/>
    <w:rsid w:val="00F8086E"/>
    <w:rsid w:val="00F80AC6"/>
    <w:rsid w:val="00F81E78"/>
    <w:rsid w:val="00F93562"/>
    <w:rsid w:val="00F943FA"/>
    <w:rsid w:val="00F96380"/>
    <w:rsid w:val="00FA29B6"/>
    <w:rsid w:val="00FA782F"/>
    <w:rsid w:val="00FC568E"/>
    <w:rsid w:val="00FD1ECC"/>
    <w:rsid w:val="00FD7B2D"/>
    <w:rsid w:val="00FE4201"/>
    <w:rsid w:val="00FE55D8"/>
    <w:rsid w:val="00FF0997"/>
    <w:rsid w:val="00FF6C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5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E7B"/>
    <w:rPr>
      <w:rFonts w:ascii="Tahoma" w:hAnsi="Tahoma" w:cs="Tahoma"/>
      <w:sz w:val="16"/>
      <w:szCs w:val="16"/>
    </w:rPr>
  </w:style>
  <w:style w:type="paragraph" w:styleId="FootnoteText">
    <w:name w:val="footnote text"/>
    <w:basedOn w:val="Normal"/>
    <w:link w:val="FootnoteTextChar"/>
    <w:uiPriority w:val="99"/>
    <w:semiHidden/>
    <w:unhideWhenUsed/>
    <w:rsid w:val="00E774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449"/>
    <w:rPr>
      <w:sz w:val="20"/>
      <w:szCs w:val="20"/>
    </w:rPr>
  </w:style>
  <w:style w:type="character" w:styleId="FootnoteReference">
    <w:name w:val="footnote reference"/>
    <w:basedOn w:val="DefaultParagraphFont"/>
    <w:uiPriority w:val="99"/>
    <w:semiHidden/>
    <w:unhideWhenUsed/>
    <w:rsid w:val="00E77449"/>
    <w:rPr>
      <w:vertAlign w:val="superscript"/>
    </w:rPr>
  </w:style>
  <w:style w:type="paragraph" w:styleId="ListParagraph">
    <w:name w:val="List Paragraph"/>
    <w:basedOn w:val="Normal"/>
    <w:uiPriority w:val="34"/>
    <w:qFormat/>
    <w:rsid w:val="00C40637"/>
    <w:pPr>
      <w:ind w:left="720"/>
      <w:contextualSpacing/>
    </w:pPr>
  </w:style>
  <w:style w:type="character" w:styleId="Hyperlink">
    <w:name w:val="Hyperlink"/>
    <w:basedOn w:val="DefaultParagraphFont"/>
    <w:uiPriority w:val="99"/>
    <w:unhideWhenUsed/>
    <w:rsid w:val="009C6632"/>
    <w:rPr>
      <w:color w:val="0000FF" w:themeColor="hyperlink"/>
      <w:u w:val="single"/>
    </w:rPr>
  </w:style>
  <w:style w:type="paragraph" w:styleId="Header">
    <w:name w:val="header"/>
    <w:basedOn w:val="Normal"/>
    <w:link w:val="HeaderChar"/>
    <w:uiPriority w:val="99"/>
    <w:unhideWhenUsed/>
    <w:rsid w:val="000A2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F07"/>
  </w:style>
  <w:style w:type="paragraph" w:styleId="Footer">
    <w:name w:val="footer"/>
    <w:basedOn w:val="Normal"/>
    <w:link w:val="FooterChar"/>
    <w:uiPriority w:val="99"/>
    <w:unhideWhenUsed/>
    <w:rsid w:val="000A2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E7B"/>
    <w:rPr>
      <w:rFonts w:ascii="Tahoma" w:hAnsi="Tahoma" w:cs="Tahoma"/>
      <w:sz w:val="16"/>
      <w:szCs w:val="16"/>
    </w:rPr>
  </w:style>
  <w:style w:type="paragraph" w:styleId="FootnoteText">
    <w:name w:val="footnote text"/>
    <w:basedOn w:val="Normal"/>
    <w:link w:val="FootnoteTextChar"/>
    <w:uiPriority w:val="99"/>
    <w:semiHidden/>
    <w:unhideWhenUsed/>
    <w:rsid w:val="00E774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7449"/>
    <w:rPr>
      <w:sz w:val="20"/>
      <w:szCs w:val="20"/>
    </w:rPr>
  </w:style>
  <w:style w:type="character" w:styleId="FootnoteReference">
    <w:name w:val="footnote reference"/>
    <w:basedOn w:val="DefaultParagraphFont"/>
    <w:uiPriority w:val="99"/>
    <w:semiHidden/>
    <w:unhideWhenUsed/>
    <w:rsid w:val="00E77449"/>
    <w:rPr>
      <w:vertAlign w:val="superscript"/>
    </w:rPr>
  </w:style>
  <w:style w:type="paragraph" w:styleId="ListParagraph">
    <w:name w:val="List Paragraph"/>
    <w:basedOn w:val="Normal"/>
    <w:uiPriority w:val="34"/>
    <w:qFormat/>
    <w:rsid w:val="00C40637"/>
    <w:pPr>
      <w:ind w:left="720"/>
      <w:contextualSpacing/>
    </w:pPr>
  </w:style>
  <w:style w:type="character" w:styleId="Hyperlink">
    <w:name w:val="Hyperlink"/>
    <w:basedOn w:val="DefaultParagraphFont"/>
    <w:uiPriority w:val="99"/>
    <w:unhideWhenUsed/>
    <w:rsid w:val="009C6632"/>
    <w:rPr>
      <w:color w:val="0000FF" w:themeColor="hyperlink"/>
      <w:u w:val="single"/>
    </w:rPr>
  </w:style>
  <w:style w:type="paragraph" w:styleId="Header">
    <w:name w:val="header"/>
    <w:basedOn w:val="Normal"/>
    <w:link w:val="HeaderChar"/>
    <w:uiPriority w:val="99"/>
    <w:unhideWhenUsed/>
    <w:rsid w:val="000A2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F07"/>
  </w:style>
  <w:style w:type="paragraph" w:styleId="Footer">
    <w:name w:val="footer"/>
    <w:basedOn w:val="Normal"/>
    <w:link w:val="FooterChar"/>
    <w:uiPriority w:val="99"/>
    <w:unhideWhenUsed/>
    <w:rsid w:val="000A2F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434">
      <w:bodyDiv w:val="1"/>
      <w:marLeft w:val="0"/>
      <w:marRight w:val="0"/>
      <w:marTop w:val="0"/>
      <w:marBottom w:val="0"/>
      <w:divBdr>
        <w:top w:val="none" w:sz="0" w:space="0" w:color="auto"/>
        <w:left w:val="none" w:sz="0" w:space="0" w:color="auto"/>
        <w:bottom w:val="none" w:sz="0" w:space="0" w:color="auto"/>
        <w:right w:val="none" w:sz="0" w:space="0" w:color="auto"/>
      </w:divBdr>
    </w:div>
    <w:div w:id="82346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Status xmlns="8fc327dc-690e-4d3d-be3a-8da330a5c56a">Publish, with attribution</ClearanceStatus>
    <SharePointListItemID xmlns="8fc327dc-690e-4d3d-be3a-8da330a5c56a">487</SharePointListItemID>
    <Pages xmlns="8fc327dc-690e-4d3d-be3a-8da330a5c56a">23</Pages>
    <Redactions xmlns="8fc327dc-690e-4d3d-be3a-8da330a5c56a">None required</Redactions>
    <PublicationConsent xmlns="8fc327dc-690e-4d3d-be3a-8da330a5c56a">Publish, with attribution</PublicationConsent>
    <ClearanceStatusJustification xmlns="8fc327dc-690e-4d3d-be3a-8da330a5c56a" xsi:nil="true"/>
    <Comments xmlns="8fc327dc-690e-4d3d-be3a-8da330a5c56a" xsi:nil="true"/>
    <Pillar xmlns="8fc327dc-690e-4d3d-be3a-8da330a5c56a" xsi:nil="true"/>
    <SubmissionID xmlns="8fc327dc-690e-4d3d-be3a-8da330a5c56a">83</SubmissionID>
    <Filetype xmlns="8fc327dc-690e-4d3d-be3a-8da330a5c56a">Main submission</Filetype>
    <Detailsofrequiredredactions xmlns="8fc327dc-690e-4d3d-be3a-8da330a5c56a" xsi:nil="true"/>
    <GUID0 xmlns="8fc327dc-690e-4d3d-be3a-8da330a5c56a" xsi:nil="true"/>
    <TaxCatchAll xmlns="92f515d7-60fe-4be8-8c70-6cf03a959bc1">
      <Value>1</Value>
    </TaxCatchAll>
    <AttachmentNumber xmlns="8fc327dc-690e-4d3d-be3a-8da330a5c56a" xsi:nil="true"/>
    <lcf76f155ced4ddcb4097134ff3c332f xmlns="8fc327dc-690e-4d3d-be3a-8da330a5c56a">
      <Terms xmlns="http://schemas.microsoft.com/office/infopath/2007/PartnerControls"/>
    </lcf76f155ced4ddcb4097134ff3c332f>
    <i0f84bba906045b4af568ee102a52dcb xmlns="92f515d7-60fe-4be8-8c70-6cf03a959bc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Published xmlns="8fc327dc-690e-4d3d-be3a-8da330a5c56a" xsi:nil="true"/>
    <ProcessingStage xmlns="8fc327dc-690e-4d3d-be3a-8da330a5c56a">publishing</ProcessingSt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A890F594A2DB48B588B98E932DC4A7" ma:contentTypeVersion="68" ma:contentTypeDescription="Create a new document." ma:contentTypeScope="" ma:versionID="fcd55d00d9e8eee729fb2b1ee214c4be">
  <xsd:schema xmlns:xsd="http://www.w3.org/2001/XMLSchema" xmlns:xs="http://www.w3.org/2001/XMLSchema" xmlns:p="http://schemas.microsoft.com/office/2006/metadata/properties" xmlns:ns2="92f515d7-60fe-4be8-8c70-6cf03a959bc1" xmlns:ns3="8fc327dc-690e-4d3d-be3a-8da330a5c56a" targetNamespace="http://schemas.microsoft.com/office/2006/metadata/properties" ma:root="true" ma:fieldsID="2be51f67febdc3c03f8247df88e811da" ns2:_="" ns3:_="">
    <xsd:import namespace="92f515d7-60fe-4be8-8c70-6cf03a959bc1"/>
    <xsd:import namespace="8fc327dc-690e-4d3d-be3a-8da330a5c56a"/>
    <xsd:element name="properties">
      <xsd:complexType>
        <xsd:sequence>
          <xsd:element name="documentManagement">
            <xsd:complexType>
              <xsd:all>
                <xsd:element ref="ns2:i0f84bba906045b4af568ee102a52dcb" minOccurs="0"/>
                <xsd:element ref="ns2:TaxCatchAll" minOccurs="0"/>
                <xsd:element ref="ns3:Filetype" minOccurs="0"/>
                <xsd:element ref="ns3:Redactions" minOccurs="0"/>
                <xsd:element ref="ns3:Detailsofrequiredredactions" minOccurs="0"/>
                <xsd:element ref="ns3:GUID0" minOccurs="0"/>
                <xsd:element ref="ns3:Pillar" minOccurs="0"/>
                <xsd:element ref="ns3:ClearanceStatus" minOccurs="0"/>
                <xsd:element ref="ns3:ClearanceStatusJustification" minOccurs="0"/>
                <xsd:element ref="ns3:SharePointListItemID" minOccurs="0"/>
                <xsd:element ref="ns3:Published" minOccurs="0"/>
                <xsd:element ref="ns3:Comments" minOccurs="0"/>
                <xsd:element ref="ns3:PublicationConsent" minOccurs="0"/>
                <xsd:element ref="ns3:SubmissionID" minOccurs="0"/>
                <xsd:element ref="ns3:AttachmentNumber" minOccurs="0"/>
                <xsd:element ref="ns3:MediaServiceMetadata" minOccurs="0"/>
                <xsd:element ref="ns3:MediaServiceFastMetadata" minOccurs="0"/>
                <xsd:element ref="ns3:MediaServiceSearchProperties" minOccurs="0"/>
                <xsd:element ref="ns3:Pag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Processing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515d7-60fe-4be8-8c70-6cf03a959bc1"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a54f4da-de0e-4147-8743-e663090c018e}" ma:internalName="TaxCatchAll" ma:showField="CatchAllData" ma:web="92f515d7-60fe-4be8-8c70-6cf03a959b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327dc-690e-4d3d-be3a-8da330a5c56a" elementFormDefault="qualified">
    <xsd:import namespace="http://schemas.microsoft.com/office/2006/documentManagement/types"/>
    <xsd:import namespace="http://schemas.microsoft.com/office/infopath/2007/PartnerControls"/>
    <xsd:element name="Filetype" ma:index="11" nillable="true" ma:displayName="File type" ma:format="Dropdown" ma:internalName="Filetype">
      <xsd:simpleType>
        <xsd:restriction base="dms:Choice">
          <xsd:enumeration value="Main submission"/>
          <xsd:enumeration value="Attachment"/>
          <xsd:enumeration value="Cover letter"/>
        </xsd:restriction>
      </xsd:simpleType>
    </xsd:element>
    <xsd:element name="Redactions" ma:index="12" nillable="true" ma:displayName="Redactions" ma:format="Dropdown" ma:internalName="Redactions">
      <xsd:simpleType>
        <xsd:restriction base="dms:Choice">
          <xsd:enumeration value="None required"/>
          <xsd:enumeration value="Redactions required"/>
          <xsd:enumeration value="Redactions applied"/>
        </xsd:restriction>
      </xsd:simpleType>
    </xsd:element>
    <xsd:element name="Detailsofrequiredredactions" ma:index="13" nillable="true" ma:displayName="Details of required redactions" ma:format="Dropdown" ma:internalName="Detailsofrequiredredactions">
      <xsd:simpleType>
        <xsd:restriction base="dms:Text">
          <xsd:maxLength value="255"/>
        </xsd:restriction>
      </xsd:simpleType>
    </xsd:element>
    <xsd:element name="GUID0" ma:index="14" nillable="true" ma:displayName="Submission GUID" ma:format="Dropdown" ma:internalName="GUID0">
      <xsd:simpleType>
        <xsd:restriction base="dms:Text">
          <xsd:maxLength value="255"/>
        </xsd:restriction>
      </xsd:simpleType>
    </xsd:element>
    <xsd:element name="Pillar" ma:index="15" nillable="true" ma:displayName="Pillar" ma:decimals="0" ma:format="Dropdown" ma:internalName="Pillar" ma:percentage="FALSE">
      <xsd:simpleType>
        <xsd:restriction base="dms:Number"/>
      </xsd:simpleType>
    </xsd:element>
    <xsd:element name="ClearanceStatus" ma:index="16" nillable="true" ma:displayName="Clearance status" ma:format="Dropdown" ma:internalName="ClearanceStatus">
      <xsd:simpleType>
        <xsd:restriction base="dms:Choice">
          <xsd:enumeration value="Awaiting clearance"/>
          <xsd:enumeration value="Publish, with attribution"/>
          <xsd:enumeration value="Publish, without attribution"/>
          <xsd:enumeration value="Does not meet guidelines/policies"/>
          <xsd:enumeration value="Confidential"/>
          <xsd:enumeration value="Not required"/>
        </xsd:restriction>
      </xsd:simpleType>
    </xsd:element>
    <xsd:element name="ClearanceStatusJustification" ma:index="17" nillable="true" ma:displayName="Reason for selected clearance status" ma:format="Dropdown" ma:internalName="ClearanceStatusJustification">
      <xsd:simpleType>
        <xsd:restriction base="dms:Text">
          <xsd:maxLength value="255"/>
        </xsd:restriction>
      </xsd:simpleType>
    </xsd:element>
    <xsd:element name="SharePointListItemID" ma:index="18" nillable="true" ma:displayName="SharePointListItemID" ma:decimals="0" ma:format="Dropdown" ma:indexed="true" ma:internalName="SharePointListItemID" ma:percentage="FALSE">
      <xsd:simpleType>
        <xsd:restriction base="dms:Number"/>
      </xsd:simpleType>
    </xsd:element>
    <xsd:element name="Published" ma:index="19" nillable="true" ma:displayName="Published" ma:format="Dropdown" ma:internalName="Published">
      <xsd:simpleType>
        <xsd:restriction base="dms:Choice">
          <xsd:enumeration value="Yes"/>
          <xsd:enumeration value="Awaiting publication"/>
          <xsd:enumeration value="Do not publish"/>
        </xsd:restriction>
      </xsd:simpleType>
    </xsd:element>
    <xsd:element name="Comments" ma:index="20" nillable="true" ma:displayName="Comments" ma:format="Dropdown" ma:internalName="Comments">
      <xsd:simpleType>
        <xsd:restriction base="dms:Text">
          <xsd:maxLength value="255"/>
        </xsd:restriction>
      </xsd:simpleType>
    </xsd:element>
    <xsd:element name="PublicationConsent" ma:index="21" nillable="true" ma:displayName="Publication consent" ma:format="Dropdown" ma:internalName="PublicationConsent">
      <xsd:simpleType>
        <xsd:restriction base="dms:Choice">
          <xsd:enumeration value="Publish, with attribution"/>
          <xsd:enumeration value="Publish, without attribution"/>
          <xsd:enumeration value="Confidential"/>
          <xsd:enumeration value="Withdrawn"/>
          <xsd:enumeration value="Not applicable"/>
        </xsd:restriction>
      </xsd:simpleType>
    </xsd:element>
    <xsd:element name="SubmissionID" ma:index="22" nillable="true" ma:displayName="Submission ID" ma:decimals="0" ma:format="Dropdown" ma:internalName="SubmissionID" ma:percentage="FALSE">
      <xsd:simpleType>
        <xsd:restriction base="dms:Number"/>
      </xsd:simpleType>
    </xsd:element>
    <xsd:element name="AttachmentNumber" ma:index="23" nillable="true" ma:displayName="AttachmentNumber" ma:decimals="0" ma:format="Dropdown" ma:internalName="AttachmentNumber" ma:percentage="FALSE">
      <xsd:simpleType>
        <xsd:restriction base="dms:Number"/>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ages" ma:index="27" nillable="true" ma:displayName="Pages" ma:decimals="0" ma:format="Dropdown" ma:internalName="Pages"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ProcessingStage" ma:index="34" nillable="true" ma:displayName="ProcessingStage" ma:format="Dropdown" ma:internalName="ProcessingSt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5919C-F680-4469-B1F7-186B5CB8952E}">
  <ds:schemaRefs>
    <ds:schemaRef ds:uri="http://schemas.microsoft.com/office/2006/metadata/properties"/>
    <ds:schemaRef ds:uri="http://schemas.microsoft.com/office/infopath/2007/PartnerControls"/>
    <ds:schemaRef ds:uri="8fc327dc-690e-4d3d-be3a-8da330a5c56a"/>
    <ds:schemaRef ds:uri="92f515d7-60fe-4be8-8c70-6cf03a959bc1"/>
  </ds:schemaRefs>
</ds:datastoreItem>
</file>

<file path=customXml/itemProps2.xml><?xml version="1.0" encoding="utf-8"?>
<ds:datastoreItem xmlns:ds="http://schemas.openxmlformats.org/officeDocument/2006/customXml" ds:itemID="{3925D3A3-B170-4AA1-A493-7A6E52F06409}">
  <ds:schemaRefs>
    <ds:schemaRef ds:uri="http://schemas.microsoft.com/sharepoint/v3/contenttype/forms"/>
  </ds:schemaRefs>
</ds:datastoreItem>
</file>

<file path=customXml/itemProps3.xml><?xml version="1.0" encoding="utf-8"?>
<ds:datastoreItem xmlns:ds="http://schemas.openxmlformats.org/officeDocument/2006/customXml" ds:itemID="{8EA824AF-231F-44D8-8BBC-F4E586F7E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515d7-60fe-4be8-8c70-6cf03a959bc1"/>
    <ds:schemaRef ds:uri="8fc327dc-690e-4d3d-be3a-8da330a5c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7BE47-4895-4A0A-86D1-C1AD41364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8266</Words>
  <Characters>47121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Mayo</dc:creator>
  <cp:lastModifiedBy>Wayne Mayo</cp:lastModifiedBy>
  <cp:revision>2</cp:revision>
  <cp:lastPrinted>2025-09-12T02:14:00Z</cp:lastPrinted>
  <dcterms:created xsi:type="dcterms:W3CDTF">2025-09-30T04:50:00Z</dcterms:created>
  <dcterms:modified xsi:type="dcterms:W3CDTF">2025-09-30T04:50:00Z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0x0101000EA890F594A2DB48B588B98E932DC4A7</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docLang">
    <vt:lpwstr>en</vt:lpwstr>
  </property>
  <property fmtid="{D5CDD505-2E9C-101B-9397-08002B2CF9AE}" pid="6" name="MSIP_Label_c1f2b1ce-4212-46db-a901-dd8453f57141_Enabled">
    <vt:lpwstr>true</vt:lpwstr>
  </property>
  <property fmtid="{D5CDD505-2E9C-101B-9397-08002B2CF9AE}" pid="7" name="MSIP_Label_c1f2b1ce-4212-46db-a901-dd8453f57141_SetDate">
    <vt:lpwstr>2025-09-29T03:29:17Z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ad59216a-f15f-4853-915f-43d92d1f146b</vt:lpwstr>
  </property>
  <property fmtid="{D5CDD505-2E9C-101B-9397-08002B2CF9AE}" pid="12" name="MSIP_Label_c1f2b1ce-4212-46db-a901-dd8453f57141_ContentBits">
    <vt:lpwstr>0</vt:lpwstr>
  </property>
  <property fmtid="{D5CDD505-2E9C-101B-9397-08002B2CF9AE}" pid="13" name="MSIP_Label_c1f2b1ce-4212-46db-a901-dd8453f57141_Tag">
    <vt:lpwstr>10, 0, 1, 1</vt:lpwstr>
  </property>
</Properties>
</file>